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firstLine="0"/>
        <w:jc w:val="center"/>
      </w:pPr>
      <w:r>
        <w:rPr>
          <w:rFonts w:hint="eastAsia" w:ascii="华文中宋" w:eastAsia="华文中宋" w:hAnsiTheme="minorEastAsia"/>
          <w:b/>
          <w:color w:val="000000"/>
          <w:sz w:val="36"/>
        </w:rPr>
        <w:t xml:space="preserve">    </w:t>
      </w:r>
    </w:p>
    <w:p>
      <w:pPr>
        <w:spacing w:line="360" w:lineRule="auto"/>
        <w:ind w:left="0" w:firstLine="0"/>
        <w:jc w:val="center"/>
      </w:pPr>
    </w:p>
    <w:p>
      <w:pPr>
        <w:spacing w:line="360" w:lineRule="auto"/>
        <w:ind w:left="0" w:firstLine="0"/>
        <w:jc w:val="center"/>
      </w:pPr>
      <w:r>
        <w:rPr>
          <w:rFonts w:hint="eastAsia" w:ascii="华文中宋" w:eastAsia="华文中宋" w:hAnsiTheme="minorEastAsia"/>
          <w:b/>
          <w:color w:val="000000"/>
          <w:sz w:val="36"/>
        </w:rPr>
        <w:t xml:space="preserve">    </w:t>
      </w:r>
    </w:p>
    <w:p>
      <w:pPr>
        <w:spacing w:line="360" w:lineRule="auto"/>
        <w:ind w:left="0" w:firstLine="0"/>
        <w:jc w:val="center"/>
      </w:pPr>
    </w:p>
    <w:p>
      <w:pPr>
        <w:spacing w:line="360" w:lineRule="auto"/>
        <w:ind w:left="0" w:firstLine="0"/>
        <w:jc w:val="center"/>
      </w:pPr>
    </w:p>
    <w:p>
      <w:pPr>
        <w:spacing w:line="360" w:lineRule="auto"/>
        <w:ind w:left="0" w:firstLine="0"/>
        <w:jc w:val="center"/>
      </w:pPr>
    </w:p>
    <w:p>
      <w:pPr>
        <w:spacing w:line="360" w:lineRule="auto"/>
        <w:ind w:left="0" w:firstLine="0"/>
        <w:jc w:val="center"/>
      </w:pPr>
    </w:p>
    <w:p>
      <w:pPr>
        <w:spacing w:line="360" w:lineRule="auto"/>
        <w:ind w:left="0" w:firstLine="0"/>
        <w:jc w:val="center"/>
      </w:pPr>
    </w:p>
    <w:p>
      <w:pPr>
        <w:spacing w:line="360" w:lineRule="auto"/>
        <w:ind w:left="0" w:firstLine="0"/>
        <w:jc w:val="center"/>
      </w:pPr>
    </w:p>
    <w:p>
      <w:pPr>
        <w:spacing w:line="360" w:lineRule="auto"/>
        <w:ind w:left="0" w:firstLine="0"/>
        <w:jc w:val="center"/>
      </w:pPr>
    </w:p>
    <w:p>
      <w:pPr>
        <w:spacing w:line="360" w:lineRule="auto"/>
        <w:ind w:left="0" w:firstLine="0"/>
        <w:jc w:val="center"/>
      </w:pPr>
    </w:p>
    <w:p>
      <w:pPr>
        <w:spacing w:line="360" w:lineRule="auto"/>
        <w:ind w:left="0" w:firstLine="0"/>
        <w:jc w:val="center"/>
      </w:pPr>
      <w:r>
        <w:rPr>
          <w:rFonts w:hint="eastAsia" w:ascii="华文中宋" w:eastAsia="华文中宋" w:hAnsiTheme="minorEastAsia"/>
          <w:b/>
          <w:color w:val="000000"/>
          <w:sz w:val="54"/>
        </w:rPr>
        <w:t xml:space="preserve"> 中共上海市委党校第五分校（上海市经济管理干部学院）</w:t>
      </w:r>
    </w:p>
    <w:p>
      <w:pPr>
        <w:spacing w:line="360" w:lineRule="auto"/>
        <w:ind w:left="0" w:firstLine="0"/>
        <w:jc w:val="center"/>
      </w:pPr>
      <w:r>
        <w:rPr>
          <w:rFonts w:hint="eastAsia" w:ascii="华文中宋" w:eastAsia="华文中宋" w:hAnsiTheme="minorEastAsia"/>
          <w:b/>
          <w:color w:val="000000"/>
          <w:sz w:val="54"/>
        </w:rPr>
        <w:t xml:space="preserve"> 2017年度部门决算</w:t>
      </w:r>
    </w:p>
    <w:p>
      <w:pPr>
        <w:spacing w:line="360" w:lineRule="auto"/>
        <w:ind w:left="0" w:firstLine="0"/>
        <w:jc w:val="center"/>
      </w:pPr>
    </w:p>
    <w:p>
      <w:pPr>
        <w:spacing w:line="360" w:lineRule="auto"/>
        <w:ind w:left="0" w:firstLine="0"/>
        <w:jc w:val="center"/>
      </w:pPr>
    </w:p>
    <w:p>
      <w:pPr>
        <w:spacing w:line="360" w:lineRule="auto"/>
        <w:ind w:left="0" w:firstLine="0"/>
        <w:jc w:val="center"/>
      </w:pPr>
    </w:p>
    <w:p>
      <w:pPr>
        <w:spacing w:line="360" w:lineRule="auto"/>
        <w:ind w:left="0" w:firstLine="0"/>
        <w:jc w:val="center"/>
      </w:pPr>
    </w:p>
    <w:p>
      <w:pPr>
        <w:spacing w:line="360" w:lineRule="auto"/>
        <w:ind w:left="0" w:firstLine="0"/>
        <w:jc w:val="center"/>
      </w:pPr>
    </w:p>
    <w:p>
      <w:pPr>
        <w:spacing w:line="360" w:lineRule="auto"/>
        <w:ind w:left="0" w:firstLine="0"/>
        <w:jc w:val="center"/>
      </w:pPr>
    </w:p>
    <w:p>
      <w:pPr>
        <w:spacing w:line="360" w:lineRule="auto"/>
        <w:ind w:left="0" w:firstLine="0"/>
        <w:jc w:val="center"/>
      </w:pPr>
    </w:p>
    <w:p>
      <w:pPr>
        <w:spacing w:line="360" w:lineRule="auto"/>
        <w:ind w:left="0" w:firstLine="0"/>
        <w:jc w:val="center"/>
      </w:pPr>
    </w:p>
    <w:p>
      <w:pPr>
        <w:spacing w:line="360" w:lineRule="auto"/>
        <w:ind w:left="0" w:firstLine="0"/>
        <w:jc w:val="center"/>
      </w:pPr>
    </w:p>
    <w:p>
      <w:pPr>
        <w:spacing w:line="360" w:lineRule="auto"/>
        <w:ind w:left="0" w:firstLine="0"/>
        <w:jc w:val="center"/>
      </w:pPr>
    </w:p>
    <w:p>
      <w:pPr>
        <w:spacing w:line="360" w:lineRule="auto"/>
        <w:ind w:left="0" w:firstLine="0"/>
        <w:jc w:val="center"/>
      </w:pPr>
    </w:p>
    <w:p>
      <w:pPr>
        <w:spacing w:line="360" w:lineRule="auto"/>
        <w:ind w:left="0" w:firstLine="0"/>
        <w:jc w:val="center"/>
      </w:pPr>
    </w:p>
    <w:p>
      <w:pPr>
        <w:spacing w:line="360" w:lineRule="auto"/>
        <w:ind w:left="0" w:firstLine="602" w:firstLineChars="200"/>
        <w:jc w:val="left"/>
        <w:rPr>
          <w:rFonts w:ascii="楷体_GB2312" w:eastAsia="楷体_GB2312" w:hAnsiTheme="minorEastAsia"/>
          <w:b/>
          <w:color w:val="000000"/>
          <w:sz w:val="30"/>
        </w:rPr>
      </w:pPr>
    </w:p>
    <w:p>
      <w:pPr>
        <w:spacing w:line="360" w:lineRule="auto"/>
        <w:ind w:left="0" w:firstLine="0"/>
        <w:jc w:val="center"/>
      </w:pPr>
      <w:r>
        <w:rPr>
          <w:rFonts w:hint="eastAsia" w:ascii="黑体" w:eastAsia="黑体" w:hAnsiTheme="minorEastAsia"/>
          <w:color w:val="000000"/>
          <w:sz w:val="30"/>
        </w:rPr>
        <w:t xml:space="preserve"> 第一部分  中共上海市委党校第五分校（上海市经济管理干部学院）概况</w:t>
      </w:r>
    </w:p>
    <w:p>
      <w:pPr>
        <w:spacing w:line="360" w:lineRule="auto"/>
        <w:ind w:left="0" w:firstLine="0"/>
        <w:jc w:val="center"/>
      </w:pPr>
    </w:p>
    <w:p>
      <w:pPr>
        <w:spacing w:line="360" w:lineRule="auto"/>
        <w:ind w:left="0" w:firstLine="602" w:firstLineChars="200"/>
        <w:jc w:val="left"/>
        <w:rPr>
          <w:rFonts w:ascii="楷体" w:eastAsia="楷体" w:hAnsiTheme="minorEastAsia"/>
          <w:b/>
          <w:color w:val="000000"/>
          <w:sz w:val="30"/>
        </w:rPr>
      </w:pPr>
      <w:r>
        <w:rPr>
          <w:rFonts w:hint="eastAsia" w:ascii="楷体_GB2312" w:eastAsia="楷体_GB2312" w:hAnsiTheme="minorEastAsia"/>
          <w:b/>
          <w:color w:val="000000"/>
          <w:sz w:val="30"/>
        </w:rPr>
        <w:t xml:space="preserve"> </w:t>
      </w:r>
      <w:r>
        <w:rPr>
          <w:rFonts w:hint="eastAsia" w:ascii="楷体" w:eastAsia="楷体" w:hAnsiTheme="minorEastAsia"/>
          <w:b/>
          <w:color w:val="000000"/>
          <w:sz w:val="30"/>
        </w:rPr>
        <w:t>一、主要职能</w:t>
      </w:r>
    </w:p>
    <w:p>
      <w:pPr>
        <w:spacing w:line="360" w:lineRule="auto"/>
        <w:ind w:left="0" w:firstLine="420" w:firstLineChars="200"/>
        <w:jc w:val="left"/>
      </w:pPr>
    </w:p>
    <w:p>
      <w:pPr>
        <w:pStyle w:val="35"/>
        <w:spacing w:line="360" w:lineRule="auto"/>
        <w:ind w:left="0" w:firstLine="300" w:firstLineChars="100"/>
        <w:jc w:val="left"/>
        <w:rPr>
          <w:rFonts w:ascii="仿宋_GB2312" w:eastAsia="仿宋_GB2312" w:hAnsiTheme="minorEastAsia"/>
          <w:color w:val="000000"/>
          <w:sz w:val="30"/>
        </w:rPr>
      </w:pPr>
      <w:r>
        <w:rPr>
          <w:rFonts w:hint="eastAsia" w:ascii="仿宋_GB2312" w:hAnsi="仿宋" w:eastAsia="仿宋_GB2312"/>
          <w:sz w:val="30"/>
          <w:szCs w:val="30"/>
        </w:rPr>
        <w:t>（</w:t>
      </w:r>
      <w:r>
        <w:rPr>
          <w:rFonts w:hint="eastAsia" w:ascii="仿宋_GB2312" w:eastAsia="仿宋_GB2312" w:hAnsiTheme="minorEastAsia"/>
          <w:color w:val="000000"/>
          <w:sz w:val="30"/>
        </w:rPr>
        <w:t>一）贯彻执行中央关于干部教育培训的方针、政策和市委的要求，对学员开展政治理论、政策法规、业务知识、文化素养培训和技能训练、党性教育，为上海经济社会发展提供智力支持和人才保证。</w:t>
      </w:r>
    </w:p>
    <w:p>
      <w:pPr>
        <w:pStyle w:val="35"/>
        <w:spacing w:line="360" w:lineRule="auto"/>
        <w:ind w:left="0" w:firstLine="300" w:firstLineChars="100"/>
        <w:jc w:val="left"/>
        <w:rPr>
          <w:rFonts w:ascii="仿宋_GB2312" w:eastAsia="仿宋_GB2312" w:hAnsiTheme="minorEastAsia"/>
          <w:color w:val="000000"/>
          <w:sz w:val="30"/>
        </w:rPr>
      </w:pPr>
      <w:r>
        <w:rPr>
          <w:rFonts w:hint="eastAsia" w:ascii="仿宋_GB2312" w:eastAsia="仿宋_GB2312" w:hAnsiTheme="minorEastAsia"/>
          <w:color w:val="000000"/>
          <w:sz w:val="30"/>
        </w:rPr>
        <w:t>（二）落实市委党校教学工作部署，培训、轮训相关委办局处级干部和处级后备干部：根据工作需要，开展党员干部和处以下公务员的培训。</w:t>
      </w:r>
    </w:p>
    <w:p>
      <w:pPr>
        <w:pStyle w:val="35"/>
        <w:spacing w:line="360" w:lineRule="auto"/>
        <w:ind w:left="0" w:firstLine="300" w:firstLineChars="100"/>
        <w:jc w:val="left"/>
        <w:rPr>
          <w:rFonts w:ascii="仿宋_GB2312" w:eastAsia="仿宋_GB2312" w:hAnsiTheme="minorEastAsia"/>
          <w:color w:val="000000"/>
          <w:sz w:val="30"/>
        </w:rPr>
      </w:pPr>
      <w:r>
        <w:rPr>
          <w:rFonts w:hint="eastAsia" w:ascii="仿宋_GB2312" w:eastAsia="仿宋_GB2312" w:hAnsiTheme="minorEastAsia"/>
          <w:color w:val="000000"/>
          <w:sz w:val="30"/>
        </w:rPr>
        <w:t>（三）根据市委党校教学、科研总体规划，围绕相关委办局中心工作，承办相关委办局的专题研讨班和各类行业特色班，加强马克思主义理论、政治学、公共管理学等学科建设，开展决策咨询研究和应对政策研究。</w:t>
      </w:r>
    </w:p>
    <w:p>
      <w:pPr>
        <w:pStyle w:val="35"/>
        <w:spacing w:line="360" w:lineRule="auto"/>
        <w:ind w:left="0" w:firstLine="300" w:firstLineChars="100"/>
        <w:jc w:val="left"/>
        <w:rPr>
          <w:rFonts w:ascii="仿宋_GB2312" w:eastAsia="仿宋_GB2312" w:hAnsiTheme="minorEastAsia"/>
          <w:color w:val="000000"/>
          <w:sz w:val="30"/>
        </w:rPr>
      </w:pPr>
      <w:r>
        <w:rPr>
          <w:rFonts w:hint="eastAsia" w:ascii="仿宋_GB2312" w:eastAsia="仿宋_GB2312" w:hAnsiTheme="minorEastAsia"/>
          <w:color w:val="000000"/>
          <w:sz w:val="30"/>
        </w:rPr>
        <w:t>（四）协同相关委办局组织人事部门对学员在校期间的表现进行考察。</w:t>
      </w:r>
    </w:p>
    <w:p>
      <w:pPr>
        <w:pStyle w:val="35"/>
        <w:spacing w:line="360" w:lineRule="auto"/>
        <w:ind w:left="0" w:firstLine="300" w:firstLineChars="100"/>
        <w:jc w:val="left"/>
        <w:rPr>
          <w:rFonts w:ascii="仿宋_GB2312" w:eastAsia="仿宋_GB2312" w:hAnsiTheme="minorEastAsia"/>
          <w:color w:val="000000"/>
          <w:sz w:val="30"/>
        </w:rPr>
      </w:pPr>
      <w:r>
        <w:rPr>
          <w:rFonts w:hint="eastAsia" w:ascii="仿宋_GB2312" w:eastAsia="仿宋_GB2312" w:hAnsiTheme="minorEastAsia"/>
          <w:color w:val="000000"/>
          <w:sz w:val="30"/>
        </w:rPr>
        <w:t>（五）根据本市国资国企改革对人才队伍建设的需要，承担国有企业董事、监事、经理人、中高层经营管理人员和新经济组织中高级管理人才的培训、轮训工作，指导区县开展新经济组织中高级管理人才的培训、轮训工作。</w:t>
      </w:r>
    </w:p>
    <w:p>
      <w:pPr>
        <w:spacing w:line="360" w:lineRule="auto"/>
        <w:ind w:left="267" w:leftChars="100" w:hanging="57" w:hangingChars="19"/>
        <w:jc w:val="left"/>
        <w:rPr>
          <w:rFonts w:ascii="仿宋_GB2312" w:eastAsia="仿宋_GB2312" w:hAnsiTheme="minorEastAsia"/>
          <w:color w:val="000000"/>
          <w:sz w:val="30"/>
        </w:rPr>
      </w:pPr>
      <w:r>
        <w:rPr>
          <w:rFonts w:hint="eastAsia" w:ascii="仿宋_GB2312" w:eastAsia="仿宋_GB2312" w:hAnsiTheme="minorEastAsia"/>
          <w:color w:val="000000"/>
          <w:sz w:val="30"/>
        </w:rPr>
        <w:t>（六）承担对口支援中西部地区企业经营管理人才、政府经济部门工作人员的相关培训工作。开展企业政工人员、企业法律顾问、国际化人才和机关企事业单位财务管理人员等专业技术人才的相关培训工作。开展国（境）内外教育、研究机构的合作与交流。</w:t>
      </w:r>
    </w:p>
    <w:p>
      <w:pPr>
        <w:spacing w:line="360" w:lineRule="auto"/>
        <w:ind w:left="267" w:leftChars="100" w:hanging="57" w:hangingChars="19"/>
        <w:jc w:val="left"/>
        <w:rPr>
          <w:rFonts w:ascii="仿宋_GB2312" w:eastAsia="仿宋_GB2312" w:hAnsiTheme="minorEastAsia"/>
          <w:color w:val="000000"/>
          <w:sz w:val="30"/>
        </w:rPr>
      </w:pPr>
      <w:r>
        <w:rPr>
          <w:rFonts w:hint="eastAsia" w:ascii="仿宋_GB2312" w:eastAsia="仿宋_GB2312" w:hAnsiTheme="minorEastAsia"/>
          <w:color w:val="000000"/>
          <w:sz w:val="30"/>
        </w:rPr>
        <w:t>（七）承担市委党校交办的其他任务。</w:t>
      </w:r>
    </w:p>
    <w:p>
      <w:pPr>
        <w:spacing w:line="360" w:lineRule="auto"/>
        <w:ind w:left="0" w:firstLine="12000" w:firstLineChars="4000"/>
        <w:jc w:val="left"/>
      </w:pPr>
      <w:r>
        <w:rPr>
          <w:rFonts w:hint="eastAsia" w:ascii="仿宋_GB2312" w:eastAsia="仿宋_GB2312" w:hAnsiTheme="minorEastAsia"/>
          <w:color w:val="000000"/>
          <w:sz w:val="30"/>
        </w:rPr>
        <w:t xml:space="preserve"> </w:t>
      </w:r>
    </w:p>
    <w:p>
      <w:pPr>
        <w:spacing w:line="360" w:lineRule="auto"/>
        <w:ind w:left="0" w:firstLine="602" w:firstLineChars="200"/>
        <w:jc w:val="left"/>
        <w:rPr>
          <w:rFonts w:ascii="楷体" w:hAnsi="楷体" w:eastAsia="楷体"/>
          <w:b/>
          <w:color w:val="000000"/>
          <w:sz w:val="30"/>
        </w:rPr>
      </w:pPr>
      <w:r>
        <w:rPr>
          <w:rFonts w:hint="eastAsia" w:ascii="楷体" w:hAnsi="楷体" w:eastAsia="楷体"/>
          <w:b/>
          <w:color w:val="000000"/>
          <w:sz w:val="30"/>
        </w:rPr>
        <w:t xml:space="preserve"> 二、机构设置</w:t>
      </w:r>
    </w:p>
    <w:p>
      <w:pPr>
        <w:adjustRightInd w:val="0"/>
        <w:spacing w:line="360" w:lineRule="auto"/>
        <w:ind w:left="0" w:firstLine="300" w:firstLineChars="100"/>
        <w:jc w:val="left"/>
        <w:rPr>
          <w:rFonts w:ascii="仿宋_GB2312" w:eastAsia="仿宋_GB2312" w:hAnsiTheme="minorEastAsia"/>
          <w:color w:val="000000"/>
          <w:sz w:val="30"/>
        </w:rPr>
      </w:pPr>
      <w:r>
        <w:rPr>
          <w:rFonts w:hint="eastAsia" w:ascii="仿宋_GB2312" w:eastAsia="仿宋_GB2312" w:hAnsiTheme="minorEastAsia"/>
          <w:color w:val="000000"/>
          <w:sz w:val="30"/>
        </w:rPr>
        <w:t>中共上海市委党校第五分校（上海市经济管理干部学院）设15个内设机构。包括：办公室、组织人事处、教务处、科研处、学员工作处、行政处、图文信息中心、马列主义教研部、党建理论政策培训班、资产管理分院、财会分院、继续教育分院、国际交流培训处、经济管理教研部、法学教研部。</w:t>
      </w:r>
    </w:p>
    <w:p>
      <w:pPr>
        <w:spacing w:line="360" w:lineRule="auto"/>
        <w:ind w:left="0" w:firstLine="8400" w:firstLineChars="4000"/>
        <w:jc w:val="left"/>
      </w:pPr>
      <w:r>
        <w:br w:type="page"/>
      </w:r>
    </w:p>
    <w:p>
      <w:pPr>
        <w:spacing w:line="360" w:lineRule="auto"/>
        <w:ind w:left="0" w:firstLine="0"/>
        <w:jc w:val="center"/>
      </w:pPr>
      <w:r>
        <w:rPr>
          <w:rFonts w:hint="eastAsia" w:ascii="黑体" w:eastAsia="黑体" w:hAnsiTheme="minorEastAsia"/>
          <w:color w:val="000000"/>
          <w:sz w:val="30"/>
        </w:rPr>
        <w:t xml:space="preserve"> 第二部分  中共上海市委党校第五分校（上海市经济管理干部学院）</w:t>
      </w:r>
    </w:p>
    <w:p>
      <w:pPr>
        <w:spacing w:line="360" w:lineRule="auto"/>
        <w:ind w:left="0" w:firstLine="0"/>
        <w:jc w:val="center"/>
      </w:pPr>
      <w:r>
        <w:rPr>
          <w:rFonts w:hint="eastAsia" w:ascii="黑体" w:eastAsia="黑体" w:hAnsiTheme="minorEastAsia"/>
          <w:color w:val="000000"/>
          <w:sz w:val="30"/>
        </w:rPr>
        <w:t xml:space="preserve"> 2017年度部门决算表</w:t>
      </w:r>
    </w:p>
    <w:p>
      <w:pPr>
        <w:spacing w:line="360" w:lineRule="auto"/>
        <w:ind w:left="0" w:firstLine="0"/>
        <w:jc w:val="center"/>
      </w:pPr>
      <w:r>
        <w:rPr>
          <w:rFonts w:hint="eastAsia" w:ascii="宋体" w:eastAsia="宋体" w:hAnsiTheme="minorEastAsia"/>
          <w:color w:val="000000"/>
        </w:rPr>
        <w:t xml:space="preserve"> 2017年度收入支出决算总表   </w:t>
      </w:r>
    </w:p>
    <w:p>
      <w:pPr>
        <w:spacing w:line="360" w:lineRule="auto"/>
        <w:ind w:left="0" w:firstLine="0"/>
        <w:jc w:val="right"/>
      </w:pPr>
      <w:r>
        <w:rPr>
          <w:rFonts w:hint="eastAsia" w:ascii="宋体" w:eastAsia="宋体" w:hAnsiTheme="minorEastAsia"/>
          <w:color w:val="000000"/>
        </w:rPr>
        <w:t xml:space="preserve"> 单位:万元</w:t>
      </w:r>
    </w:p>
    <w:tbl>
      <w:tblPr>
        <w:tblStyle w:val="20"/>
        <w:tblW w:w="8448" w:type="dxa"/>
        <w:jc w:val="center"/>
        <w:tblInd w:w="0" w:type="dxa"/>
        <w:tblLayout w:type="fixed"/>
        <w:tblCellMar>
          <w:top w:w="0" w:type="dxa"/>
          <w:left w:w="108" w:type="dxa"/>
          <w:bottom w:w="0" w:type="dxa"/>
          <w:right w:w="108" w:type="dxa"/>
        </w:tblCellMar>
      </w:tblPr>
      <w:tblGrid>
        <w:gridCol w:w="2851"/>
        <w:gridCol w:w="1359"/>
        <w:gridCol w:w="2835"/>
        <w:gridCol w:w="1403"/>
      </w:tblGrid>
      <w:tr>
        <w:tblPrEx>
          <w:tblLayout w:type="fixed"/>
          <w:tblCellMar>
            <w:top w:w="0" w:type="dxa"/>
            <w:left w:w="108" w:type="dxa"/>
            <w:bottom w:w="0" w:type="dxa"/>
            <w:right w:w="108" w:type="dxa"/>
          </w:tblCellMar>
        </w:tblPrEx>
        <w:trPr>
          <w:trHeight w:val="409" w:hRule="atLeast"/>
          <w:jc w:val="center"/>
        </w:trPr>
        <w:tc>
          <w:tcPr>
            <w:tcW w:w="4210"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收入</w:t>
            </w:r>
          </w:p>
        </w:tc>
        <w:tc>
          <w:tcPr>
            <w:tcW w:w="4238"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支出</w:t>
            </w: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项目</w:t>
            </w: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决算数</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项目</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决算数</w:t>
            </w: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一、财政拨款收入</w:t>
            </w: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7,158.57</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一、一般公共服务支出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其中：政府性基金预算财政拨款</w:t>
            </w: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二、外交支出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二、上级补助收入</w:t>
            </w: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三、国防支出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三、事业收入</w:t>
            </w: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2,319.26</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四、公共安全支出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四、经营收入</w:t>
            </w: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五、教育支出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8,677.5</w:t>
            </w: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五、附属单位上缴收入</w:t>
            </w: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六、科学技术支出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六、其他收入</w:t>
            </w: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27.9</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七、文化体育与传媒支出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八、社会保障和就业支出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447.77</w:t>
            </w: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九、医疗卫生与计划生育支出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208.87</w:t>
            </w: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十、节能环保支出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十一、城乡社区支出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十二、农林水支出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十三、交通运输支出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十四、资源勘探信息等支出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十五、商业服务业等支出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十六、金融支出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十七、援助其他地区支出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十八、国土海洋气象等支出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十九、住房保障支出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343.33</w:t>
            </w: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二十、粮油物资储备支出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二十一、其他支出</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本年收入合计</w:t>
            </w: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9,505.73</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本年支出合计</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9,677.46</w:t>
            </w: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用事业基金弥补收支差额</w:t>
            </w: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165.45 </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结余分配</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年初结转和结余</w:t>
            </w: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67.94</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年末结转和结余</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61.66</w:t>
            </w:r>
          </w:p>
        </w:tc>
      </w:tr>
      <w:tr>
        <w:tblPrEx>
          <w:tblLayout w:type="fixed"/>
          <w:tblCellMar>
            <w:top w:w="0" w:type="dxa"/>
            <w:left w:w="108" w:type="dxa"/>
            <w:bottom w:w="0" w:type="dxa"/>
            <w:right w:w="108" w:type="dxa"/>
          </w:tblCellMar>
        </w:tblPrEx>
        <w:trPr>
          <w:jc w:val="center"/>
        </w:trPr>
        <w:tc>
          <w:tcPr>
            <w:tcW w:w="2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总计</w:t>
            </w:r>
          </w:p>
        </w:tc>
        <w:tc>
          <w:tcPr>
            <w:tcW w:w="13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9,739.12</w:t>
            </w:r>
          </w:p>
        </w:tc>
        <w:tc>
          <w:tcPr>
            <w:tcW w:w="28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总计</w:t>
            </w:r>
          </w:p>
        </w:tc>
        <w:tc>
          <w:tcPr>
            <w:tcW w:w="140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9,739.12</w:t>
            </w:r>
          </w:p>
        </w:tc>
      </w:tr>
    </w:tbl>
    <w:p>
      <w:pPr>
        <w:spacing w:line="360" w:lineRule="auto"/>
        <w:ind w:left="0" w:firstLine="0"/>
        <w:jc w:val="left"/>
      </w:pPr>
    </w:p>
    <w:p>
      <w:pPr>
        <w:spacing w:line="360" w:lineRule="auto"/>
        <w:ind w:left="0" w:firstLine="0"/>
        <w:jc w:val="center"/>
      </w:pPr>
      <w:r>
        <w:rPr>
          <w:rFonts w:hint="eastAsia" w:ascii="宋体" w:eastAsia="宋体" w:hAnsiTheme="minorEastAsia"/>
          <w:color w:val="000000"/>
        </w:rPr>
        <w:t xml:space="preserve"> 2017年度收入决算表</w:t>
      </w:r>
    </w:p>
    <w:p>
      <w:pPr>
        <w:spacing w:line="360" w:lineRule="auto"/>
        <w:ind w:left="0" w:firstLine="0"/>
        <w:jc w:val="right"/>
      </w:pPr>
      <w:r>
        <w:rPr>
          <w:rFonts w:hint="eastAsia" w:ascii="宋体" w:eastAsia="宋体" w:hAnsiTheme="minorEastAsia"/>
          <w:color w:val="000000"/>
        </w:rPr>
        <w:t xml:space="preserve"> 单位：万元</w:t>
      </w:r>
    </w:p>
    <w:p>
      <w:pPr>
        <w:spacing w:line="360" w:lineRule="auto"/>
        <w:ind w:left="0" w:firstLine="0"/>
        <w:jc w:val="center"/>
      </w:pPr>
    </w:p>
    <w:tbl>
      <w:tblPr>
        <w:tblStyle w:val="20"/>
        <w:tblW w:w="8506" w:type="dxa"/>
        <w:tblInd w:w="-34" w:type="dxa"/>
        <w:tblLayout w:type="fixed"/>
        <w:tblCellMar>
          <w:top w:w="0" w:type="dxa"/>
          <w:left w:w="108" w:type="dxa"/>
          <w:bottom w:w="0" w:type="dxa"/>
          <w:right w:w="108" w:type="dxa"/>
        </w:tblCellMar>
      </w:tblPr>
      <w:tblGrid>
        <w:gridCol w:w="426"/>
        <w:gridCol w:w="567"/>
        <w:gridCol w:w="567"/>
        <w:gridCol w:w="567"/>
        <w:gridCol w:w="850"/>
        <w:gridCol w:w="1134"/>
        <w:gridCol w:w="1134"/>
        <w:gridCol w:w="426"/>
        <w:gridCol w:w="1134"/>
        <w:gridCol w:w="425"/>
        <w:gridCol w:w="425"/>
        <w:gridCol w:w="851"/>
      </w:tblGrid>
      <w:tr>
        <w:tblPrEx>
          <w:tblLayout w:type="fixed"/>
          <w:tblCellMar>
            <w:top w:w="0" w:type="dxa"/>
            <w:left w:w="108" w:type="dxa"/>
            <w:bottom w:w="0" w:type="dxa"/>
            <w:right w:w="108" w:type="dxa"/>
          </w:tblCellMar>
        </w:tblPrEx>
        <w:trPr>
          <w:trHeight w:val="1983" w:hRule="exact"/>
        </w:trPr>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2551"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项目</w:t>
            </w:r>
          </w:p>
        </w:tc>
        <w:tc>
          <w:tcPr>
            <w:tcW w:w="1134"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本年收入合计</w:t>
            </w:r>
          </w:p>
        </w:tc>
        <w:tc>
          <w:tcPr>
            <w:tcW w:w="1134"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财政拨款收入</w:t>
            </w:r>
          </w:p>
        </w:tc>
        <w:tc>
          <w:tcPr>
            <w:tcW w:w="426"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上级补助收入</w:t>
            </w:r>
          </w:p>
        </w:tc>
        <w:tc>
          <w:tcPr>
            <w:tcW w:w="1134"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事业收入</w:t>
            </w:r>
          </w:p>
        </w:tc>
        <w:tc>
          <w:tcPr>
            <w:tcW w:w="4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经营收入</w:t>
            </w:r>
          </w:p>
        </w:tc>
        <w:tc>
          <w:tcPr>
            <w:tcW w:w="4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附属单位上缴收入</w:t>
            </w:r>
          </w:p>
        </w:tc>
        <w:tc>
          <w:tcPr>
            <w:tcW w:w="85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其他收入</w:t>
            </w:r>
          </w:p>
        </w:tc>
      </w:tr>
      <w:tr>
        <w:tblPrEx>
          <w:tblLayout w:type="fixed"/>
          <w:tblCellMar>
            <w:top w:w="0" w:type="dxa"/>
            <w:left w:w="108" w:type="dxa"/>
            <w:bottom w:w="0" w:type="dxa"/>
            <w:right w:w="108" w:type="dxa"/>
          </w:tblCellMar>
        </w:tblPrEx>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170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功能分类科目编码</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科目名称</w:t>
            </w:r>
          </w:p>
        </w:tc>
        <w:tc>
          <w:tcPr>
            <w:tcW w:w="1134"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1134"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42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1134"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851"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r>
      <w:tr>
        <w:tblPrEx>
          <w:tblLayout w:type="fixed"/>
          <w:tblCellMar>
            <w:top w:w="0" w:type="dxa"/>
            <w:left w:w="108" w:type="dxa"/>
            <w:bottom w:w="0" w:type="dxa"/>
            <w:right w:w="108" w:type="dxa"/>
          </w:tblCellMar>
        </w:tblPrEx>
        <w:trPr>
          <w:trHeight w:val="535" w:hRule="exact"/>
        </w:trPr>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0F0F0"/>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行号</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类</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款</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项</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r>
      <w:tr>
        <w:tblPrEx>
          <w:tblLayout w:type="fixed"/>
          <w:tblCellMar>
            <w:top w:w="0" w:type="dxa"/>
            <w:left w:w="108" w:type="dxa"/>
            <w:bottom w:w="0" w:type="dxa"/>
            <w:right w:w="108" w:type="dxa"/>
          </w:tblCellMar>
        </w:tblPrEx>
        <w:trPr>
          <w:trHeight w:val="571" w:hRule="atLeast"/>
        </w:trPr>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1</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合  计</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9,505.73</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7,158.57</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2,319.26</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27.90</w:t>
            </w:r>
          </w:p>
        </w:tc>
      </w:tr>
      <w:tr>
        <w:tblPrEx>
          <w:tblLayout w:type="fixed"/>
          <w:tblCellMar>
            <w:top w:w="0" w:type="dxa"/>
            <w:left w:w="108" w:type="dxa"/>
            <w:bottom w:w="0" w:type="dxa"/>
            <w:right w:w="108" w:type="dxa"/>
          </w:tblCellMar>
        </w:tblPrEx>
        <w:trPr>
          <w:trHeight w:val="690" w:hRule="atLeast"/>
        </w:trPr>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2</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205</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教育支出</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8,505.76</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6,158.60</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2,319.26</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27.90</w:t>
            </w:r>
          </w:p>
        </w:tc>
      </w:tr>
      <w:tr>
        <w:tblPrEx>
          <w:tblLayout w:type="fixed"/>
          <w:tblCellMar>
            <w:top w:w="0" w:type="dxa"/>
            <w:left w:w="108" w:type="dxa"/>
            <w:bottom w:w="0" w:type="dxa"/>
            <w:right w:w="108" w:type="dxa"/>
          </w:tblCellMar>
        </w:tblPrEx>
        <w:trPr>
          <w:trHeight w:val="571" w:hRule="atLeast"/>
        </w:trPr>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3</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205</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01</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教育管理事务</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1,475.47</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1,475.47</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r>
      <w:tr>
        <w:tblPrEx>
          <w:tblLayout w:type="fixed"/>
          <w:tblCellMar>
            <w:top w:w="0" w:type="dxa"/>
            <w:left w:w="108" w:type="dxa"/>
            <w:bottom w:w="0" w:type="dxa"/>
            <w:right w:w="108" w:type="dxa"/>
          </w:tblCellMar>
        </w:tblPrEx>
        <w:trPr>
          <w:trHeight w:val="571" w:hRule="atLeast"/>
        </w:trPr>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4</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205</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01</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01</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行政运行</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1,475.47</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1,475.47</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r>
      <w:tr>
        <w:tblPrEx>
          <w:tblLayout w:type="fixed"/>
          <w:tblCellMar>
            <w:top w:w="0" w:type="dxa"/>
            <w:left w:w="108" w:type="dxa"/>
            <w:bottom w:w="0" w:type="dxa"/>
            <w:right w:w="108" w:type="dxa"/>
          </w:tblCellMar>
        </w:tblPrEx>
        <w:trPr>
          <w:trHeight w:val="571" w:hRule="atLeast"/>
        </w:trPr>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5</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205</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08</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进修及培训</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7,030.29</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4,683.13</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2,319.26</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27.90</w:t>
            </w:r>
          </w:p>
        </w:tc>
      </w:tr>
      <w:tr>
        <w:tblPrEx>
          <w:tblLayout w:type="fixed"/>
          <w:tblCellMar>
            <w:top w:w="0" w:type="dxa"/>
            <w:left w:w="108" w:type="dxa"/>
            <w:bottom w:w="0" w:type="dxa"/>
            <w:right w:w="108" w:type="dxa"/>
          </w:tblCellMar>
        </w:tblPrEx>
        <w:trPr>
          <w:trHeight w:val="571" w:hRule="atLeast"/>
        </w:trPr>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6</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205</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08</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02</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干部教育</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7,030.29</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4,683.13</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2,319.26</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27.90</w:t>
            </w:r>
          </w:p>
        </w:tc>
      </w:tr>
      <w:tr>
        <w:tblPrEx>
          <w:tblLayout w:type="fixed"/>
          <w:tblCellMar>
            <w:top w:w="0" w:type="dxa"/>
            <w:left w:w="108" w:type="dxa"/>
            <w:bottom w:w="0" w:type="dxa"/>
            <w:right w:w="108" w:type="dxa"/>
          </w:tblCellMar>
        </w:tblPrEx>
        <w:trPr>
          <w:trHeight w:val="571" w:hRule="atLeast"/>
        </w:trPr>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7</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208</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社会保障和就业支出</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447.77</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447.77</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r>
      <w:tr>
        <w:tblPrEx>
          <w:tblLayout w:type="fixed"/>
          <w:tblCellMar>
            <w:top w:w="0" w:type="dxa"/>
            <w:left w:w="108" w:type="dxa"/>
            <w:bottom w:w="0" w:type="dxa"/>
            <w:right w:w="108" w:type="dxa"/>
          </w:tblCellMar>
        </w:tblPrEx>
        <w:trPr>
          <w:trHeight w:val="571" w:hRule="atLeast"/>
        </w:trPr>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8</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208</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05</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行政事业单位离退休</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447.77</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447.77</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r>
      <w:tr>
        <w:tblPrEx>
          <w:tblLayout w:type="fixed"/>
          <w:tblCellMar>
            <w:top w:w="0" w:type="dxa"/>
            <w:left w:w="108" w:type="dxa"/>
            <w:bottom w:w="0" w:type="dxa"/>
            <w:right w:w="108" w:type="dxa"/>
          </w:tblCellMar>
        </w:tblPrEx>
        <w:trPr>
          <w:trHeight w:val="571" w:hRule="atLeast"/>
        </w:trPr>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9</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208</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05</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01</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归口管理的行政单位离退休</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142.28</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142.28</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r>
      <w:tr>
        <w:tblPrEx>
          <w:tblLayout w:type="fixed"/>
          <w:tblCellMar>
            <w:top w:w="0" w:type="dxa"/>
            <w:left w:w="108" w:type="dxa"/>
            <w:bottom w:w="0" w:type="dxa"/>
            <w:right w:w="108" w:type="dxa"/>
          </w:tblCellMar>
        </w:tblPrEx>
        <w:trPr>
          <w:trHeight w:val="571" w:hRule="atLeast"/>
        </w:trPr>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10</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208</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05</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05</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机关事业单位基本养老保险缴费支出★</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291.53</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291.53</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r>
      <w:tr>
        <w:tblPrEx>
          <w:tblLayout w:type="fixed"/>
          <w:tblCellMar>
            <w:top w:w="0" w:type="dxa"/>
            <w:left w:w="108" w:type="dxa"/>
            <w:bottom w:w="0" w:type="dxa"/>
            <w:right w:w="108" w:type="dxa"/>
          </w:tblCellMar>
        </w:tblPrEx>
        <w:trPr>
          <w:trHeight w:val="571" w:hRule="atLeast"/>
        </w:trPr>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11</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208</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05</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99</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其他行政事业单位离退休支出</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13.96</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13.96</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r>
      <w:tr>
        <w:tblPrEx>
          <w:tblLayout w:type="fixed"/>
          <w:tblCellMar>
            <w:top w:w="0" w:type="dxa"/>
            <w:left w:w="108" w:type="dxa"/>
            <w:bottom w:w="0" w:type="dxa"/>
            <w:right w:w="108" w:type="dxa"/>
          </w:tblCellMar>
        </w:tblPrEx>
        <w:trPr>
          <w:trHeight w:val="571" w:hRule="atLeast"/>
        </w:trPr>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12</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210</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医疗卫生与计划生育支出</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208.87</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208.87</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r>
      <w:tr>
        <w:tblPrEx>
          <w:tblLayout w:type="fixed"/>
          <w:tblCellMar>
            <w:top w:w="0" w:type="dxa"/>
            <w:left w:w="108" w:type="dxa"/>
            <w:bottom w:w="0" w:type="dxa"/>
            <w:right w:w="108" w:type="dxa"/>
          </w:tblCellMar>
        </w:tblPrEx>
        <w:trPr>
          <w:trHeight w:val="571" w:hRule="atLeast"/>
        </w:trPr>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13</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210</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11</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行政事业单位医疗★</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208.27</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208.27</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r>
      <w:tr>
        <w:tblPrEx>
          <w:tblLayout w:type="fixed"/>
          <w:tblCellMar>
            <w:top w:w="0" w:type="dxa"/>
            <w:left w:w="108" w:type="dxa"/>
            <w:bottom w:w="0" w:type="dxa"/>
            <w:right w:w="108" w:type="dxa"/>
          </w:tblCellMar>
        </w:tblPrEx>
        <w:trPr>
          <w:trHeight w:val="571" w:hRule="atLeast"/>
        </w:trPr>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14</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210</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11</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01</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行政单位医疗★</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69.48</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69.48</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r>
      <w:tr>
        <w:tblPrEx>
          <w:tblLayout w:type="fixed"/>
          <w:tblCellMar>
            <w:top w:w="0" w:type="dxa"/>
            <w:left w:w="108" w:type="dxa"/>
            <w:bottom w:w="0" w:type="dxa"/>
            <w:right w:w="108" w:type="dxa"/>
          </w:tblCellMar>
        </w:tblPrEx>
        <w:trPr>
          <w:trHeight w:val="571" w:hRule="atLeast"/>
        </w:trPr>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15</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210</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11</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02</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事业单位医疗★</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138.79</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138.79</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r>
      <w:tr>
        <w:tblPrEx>
          <w:tblLayout w:type="fixed"/>
          <w:tblCellMar>
            <w:top w:w="0" w:type="dxa"/>
            <w:left w:w="108" w:type="dxa"/>
            <w:bottom w:w="0" w:type="dxa"/>
            <w:right w:w="108" w:type="dxa"/>
          </w:tblCellMar>
        </w:tblPrEx>
        <w:trPr>
          <w:trHeight w:val="571" w:hRule="atLeast"/>
        </w:trPr>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16</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210</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99</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其他医疗卫生与计划生育支出</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0.60</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0.60</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r>
      <w:tr>
        <w:tblPrEx>
          <w:tblLayout w:type="fixed"/>
          <w:tblCellMar>
            <w:top w:w="0" w:type="dxa"/>
            <w:left w:w="108" w:type="dxa"/>
            <w:bottom w:w="0" w:type="dxa"/>
            <w:right w:w="108" w:type="dxa"/>
          </w:tblCellMar>
        </w:tblPrEx>
        <w:trPr>
          <w:trHeight w:val="1808" w:hRule="atLeast"/>
        </w:trPr>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17</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210</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99</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01</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其他医疗卫生与计划生育支出</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0.60</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0.60</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r>
      <w:tr>
        <w:tblPrEx>
          <w:tblLayout w:type="fixed"/>
          <w:tblCellMar>
            <w:top w:w="0" w:type="dxa"/>
            <w:left w:w="108" w:type="dxa"/>
            <w:bottom w:w="0" w:type="dxa"/>
            <w:right w:w="108" w:type="dxa"/>
          </w:tblCellMar>
        </w:tblPrEx>
        <w:trPr>
          <w:trHeight w:val="571" w:hRule="atLeast"/>
        </w:trPr>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18</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221</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住房保障支出</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343.33</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343.33</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r>
      <w:tr>
        <w:tblPrEx>
          <w:tblLayout w:type="fixed"/>
          <w:tblCellMar>
            <w:top w:w="0" w:type="dxa"/>
            <w:left w:w="108" w:type="dxa"/>
            <w:bottom w:w="0" w:type="dxa"/>
            <w:right w:w="108" w:type="dxa"/>
          </w:tblCellMar>
        </w:tblPrEx>
        <w:trPr>
          <w:trHeight w:val="571" w:hRule="atLeast"/>
        </w:trPr>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19</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221</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02</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住房改革支出</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343.33</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343.33</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r>
      <w:tr>
        <w:tblPrEx>
          <w:tblLayout w:type="fixed"/>
          <w:tblCellMar>
            <w:top w:w="0" w:type="dxa"/>
            <w:left w:w="108" w:type="dxa"/>
            <w:bottom w:w="0" w:type="dxa"/>
            <w:right w:w="108" w:type="dxa"/>
          </w:tblCellMar>
        </w:tblPrEx>
        <w:trPr>
          <w:trHeight w:val="571" w:hRule="atLeast"/>
        </w:trPr>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20</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221</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02</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01</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住房公积金</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161.67</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161.67</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r>
      <w:tr>
        <w:tblPrEx>
          <w:tblLayout w:type="fixed"/>
          <w:tblCellMar>
            <w:top w:w="0" w:type="dxa"/>
            <w:left w:w="108" w:type="dxa"/>
            <w:bottom w:w="0" w:type="dxa"/>
            <w:right w:w="108" w:type="dxa"/>
          </w:tblCellMar>
        </w:tblPrEx>
        <w:trPr>
          <w:trHeight w:val="571" w:hRule="atLeast"/>
        </w:trPr>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21</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221</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02</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03</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购房补贴</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181.66</w:t>
            </w: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r>
              <w:rPr>
                <w:rFonts w:hint="eastAsia" w:eastAsia="宋体" w:asciiTheme="minorEastAsia" w:hAnsiTheme="minorEastAsia"/>
                <w:color w:val="000000"/>
                <w:szCs w:val="21"/>
              </w:rPr>
              <w:t>181.66</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11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eastAsia="宋体" w:asciiTheme="minorEastAsia" w:hAnsiTheme="minorEastAsia"/>
                <w:szCs w:val="21"/>
              </w:rPr>
            </w:pPr>
          </w:p>
        </w:tc>
      </w:tr>
    </w:tbl>
    <w:p>
      <w:pPr>
        <w:spacing w:line="360" w:lineRule="auto"/>
        <w:ind w:left="0" w:firstLine="0"/>
        <w:jc w:val="left"/>
      </w:pPr>
    </w:p>
    <w:p>
      <w:pPr>
        <w:spacing w:line="360" w:lineRule="auto"/>
        <w:ind w:left="0" w:firstLine="0"/>
        <w:jc w:val="center"/>
      </w:pPr>
      <w:r>
        <w:rPr>
          <w:rFonts w:hint="eastAsia" w:ascii="宋体" w:eastAsia="宋体" w:hAnsiTheme="minorEastAsia"/>
          <w:color w:val="000000"/>
        </w:rPr>
        <w:t xml:space="preserve"> 2017年度支出决算表</w:t>
      </w:r>
    </w:p>
    <w:p>
      <w:pPr>
        <w:spacing w:line="360" w:lineRule="auto"/>
        <w:ind w:left="0" w:firstLine="0"/>
        <w:jc w:val="right"/>
      </w:pPr>
      <w:r>
        <w:rPr>
          <w:rFonts w:hint="eastAsia" w:ascii="宋体" w:eastAsia="宋体" w:hAnsiTheme="minorEastAsia"/>
          <w:color w:val="000000"/>
        </w:rPr>
        <w:t xml:space="preserve"> 单位：万元</w:t>
      </w:r>
    </w:p>
    <w:tbl>
      <w:tblPr>
        <w:tblStyle w:val="20"/>
        <w:tblW w:w="9214" w:type="dxa"/>
        <w:tblInd w:w="-459" w:type="dxa"/>
        <w:tblLayout w:type="fixed"/>
        <w:tblCellMar>
          <w:top w:w="0" w:type="dxa"/>
          <w:left w:w="108" w:type="dxa"/>
          <w:bottom w:w="0" w:type="dxa"/>
          <w:right w:w="108" w:type="dxa"/>
        </w:tblCellMar>
      </w:tblPr>
      <w:tblGrid>
        <w:gridCol w:w="567"/>
        <w:gridCol w:w="709"/>
        <w:gridCol w:w="567"/>
        <w:gridCol w:w="567"/>
        <w:gridCol w:w="1276"/>
        <w:gridCol w:w="1276"/>
        <w:gridCol w:w="1275"/>
        <w:gridCol w:w="1276"/>
        <w:gridCol w:w="425"/>
        <w:gridCol w:w="567"/>
        <w:gridCol w:w="709"/>
      </w:tblGrid>
      <w:tr>
        <w:tblPrEx>
          <w:tblLayout w:type="fixed"/>
          <w:tblCellMar>
            <w:top w:w="0" w:type="dxa"/>
            <w:left w:w="108" w:type="dxa"/>
            <w:bottom w:w="0" w:type="dxa"/>
            <w:right w:w="108" w:type="dxa"/>
          </w:tblCellMar>
        </w:tblPrEx>
        <w:trPr>
          <w:trHeight w:val="3571" w:hRule="exact"/>
        </w:trPr>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w:t>
            </w:r>
          </w:p>
        </w:tc>
        <w:tc>
          <w:tcPr>
            <w:tcW w:w="311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项目</w:t>
            </w:r>
          </w:p>
        </w:tc>
        <w:tc>
          <w:tcPr>
            <w:tcW w:w="1276"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本年支出合计</w:t>
            </w:r>
          </w:p>
        </w:tc>
        <w:tc>
          <w:tcPr>
            <w:tcW w:w="127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基本支出</w:t>
            </w:r>
          </w:p>
        </w:tc>
        <w:tc>
          <w:tcPr>
            <w:tcW w:w="1276"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项目支出</w:t>
            </w:r>
          </w:p>
        </w:tc>
        <w:tc>
          <w:tcPr>
            <w:tcW w:w="4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上缴上级支出</w:t>
            </w:r>
          </w:p>
        </w:tc>
        <w:tc>
          <w:tcPr>
            <w:tcW w:w="56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经营支出</w:t>
            </w:r>
          </w:p>
        </w:tc>
        <w:tc>
          <w:tcPr>
            <w:tcW w:w="709"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对附属单位补助支出</w:t>
            </w:r>
          </w:p>
        </w:tc>
      </w:tr>
      <w:tr>
        <w:tblPrEx>
          <w:tblLayout w:type="fixed"/>
          <w:tblCellMar>
            <w:top w:w="0" w:type="dxa"/>
            <w:left w:w="108" w:type="dxa"/>
            <w:bottom w:w="0" w:type="dxa"/>
            <w:right w:w="108" w:type="dxa"/>
          </w:tblCellMar>
        </w:tblPrEx>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w:t>
            </w:r>
          </w:p>
        </w:tc>
        <w:tc>
          <w:tcPr>
            <w:tcW w:w="1843"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功能分类科目编码</w:t>
            </w:r>
          </w:p>
        </w:tc>
        <w:tc>
          <w:tcPr>
            <w:tcW w:w="1276"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科目名称</w:t>
            </w:r>
          </w:p>
        </w:tc>
        <w:tc>
          <w:tcPr>
            <w:tcW w:w="127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27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27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567"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70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r>
      <w:tr>
        <w:tblPrEx>
          <w:tblLayout w:type="fixed"/>
          <w:tblCellMar>
            <w:top w:w="0" w:type="dxa"/>
            <w:left w:w="108" w:type="dxa"/>
            <w:bottom w:w="0" w:type="dxa"/>
            <w:right w:w="108" w:type="dxa"/>
          </w:tblCellMar>
        </w:tblPrEx>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w:t>
            </w:r>
          </w:p>
        </w:tc>
        <w:tc>
          <w:tcPr>
            <w:tcW w:w="1843"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276" w:type="dxa"/>
            <w:vMerge w:val="continue"/>
          </w:tcPr>
          <w:p>
            <w:pPr>
              <w:spacing w:line="360" w:lineRule="auto"/>
              <w:ind w:left="0" w:firstLine="0"/>
              <w:jc w:val="left"/>
              <w:rPr>
                <w:rFonts w:asciiTheme="minorEastAsia" w:hAnsiTheme="minorEastAsia"/>
                <w:szCs w:val="21"/>
              </w:rPr>
            </w:pPr>
          </w:p>
        </w:tc>
        <w:tc>
          <w:tcPr>
            <w:tcW w:w="127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27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27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4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567"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70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r>
      <w:tr>
        <w:tblPrEx>
          <w:tblLayout w:type="fixed"/>
          <w:tblCellMar>
            <w:top w:w="0" w:type="dxa"/>
            <w:left w:w="108" w:type="dxa"/>
            <w:bottom w:w="0" w:type="dxa"/>
            <w:right w:w="108" w:type="dxa"/>
          </w:tblCellMar>
        </w:tblPrEx>
        <w:trPr>
          <w:trHeight w:val="396" w:hRule="exact"/>
        </w:trPr>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0F0F0"/>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行号</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类</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款</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项</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w:t>
            </w:r>
          </w:p>
        </w:tc>
      </w:tr>
      <w:tr>
        <w:tblPrEx>
          <w:tblLayout w:type="fixed"/>
          <w:tblCellMar>
            <w:top w:w="0" w:type="dxa"/>
            <w:left w:w="108" w:type="dxa"/>
            <w:bottom w:w="0" w:type="dxa"/>
            <w:right w:w="108" w:type="dxa"/>
          </w:tblCellMar>
        </w:tblPrEx>
        <w:trPr>
          <w:trHeight w:val="548" w:hRule="exact"/>
        </w:trPr>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1</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合  计</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9,677.46</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3,479.20</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6,198.26</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r>
      <w:tr>
        <w:tblPrEx>
          <w:tblLayout w:type="fixed"/>
          <w:tblCellMar>
            <w:top w:w="0" w:type="dxa"/>
            <w:left w:w="108" w:type="dxa"/>
            <w:bottom w:w="0" w:type="dxa"/>
            <w:right w:w="108" w:type="dxa"/>
          </w:tblCellMar>
        </w:tblPrEx>
        <w:trPr>
          <w:trHeight w:val="568" w:hRule="exact"/>
        </w:trPr>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2</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205</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教育支出</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8,677.50</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2,493.80</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6,183.70</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r>
      <w:tr>
        <w:tblPrEx>
          <w:tblLayout w:type="fixed"/>
          <w:tblCellMar>
            <w:top w:w="0" w:type="dxa"/>
            <w:left w:w="108" w:type="dxa"/>
            <w:bottom w:w="0" w:type="dxa"/>
            <w:right w:w="108" w:type="dxa"/>
          </w:tblCellMar>
        </w:tblPrEx>
        <w:trPr>
          <w:trHeight w:val="562" w:hRule="exact"/>
        </w:trPr>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3</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205</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01</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教育管理事务</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1,475.47</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1,475.47</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r>
      <w:tr>
        <w:tblPrEx>
          <w:tblLayout w:type="fixed"/>
          <w:tblCellMar>
            <w:top w:w="0" w:type="dxa"/>
            <w:left w:w="108" w:type="dxa"/>
            <w:bottom w:w="0" w:type="dxa"/>
            <w:right w:w="108" w:type="dxa"/>
          </w:tblCellMar>
        </w:tblPrEx>
        <w:trPr>
          <w:trHeight w:val="572" w:hRule="exact"/>
        </w:trPr>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4</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205</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01</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01</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行政运行</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1,475.47</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1,475.47</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r>
      <w:tr>
        <w:tblPrEx>
          <w:tblLayout w:type="fixed"/>
          <w:tblCellMar>
            <w:top w:w="0" w:type="dxa"/>
            <w:left w:w="108" w:type="dxa"/>
            <w:bottom w:w="0" w:type="dxa"/>
            <w:right w:w="108" w:type="dxa"/>
          </w:tblCellMar>
        </w:tblPrEx>
        <w:trPr>
          <w:trHeight w:val="591" w:hRule="exact"/>
        </w:trPr>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5</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205</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08</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进修及培训</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7,202.03</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1,018.33</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6,183.70</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r>
      <w:tr>
        <w:tblPrEx>
          <w:tblLayout w:type="fixed"/>
          <w:tblCellMar>
            <w:top w:w="0" w:type="dxa"/>
            <w:left w:w="108" w:type="dxa"/>
            <w:bottom w:w="0" w:type="dxa"/>
            <w:right w:w="108" w:type="dxa"/>
          </w:tblCellMar>
        </w:tblPrEx>
        <w:trPr>
          <w:trHeight w:val="532" w:hRule="exact"/>
        </w:trPr>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6</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205</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08</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02</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干部教育</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7,202.03</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1,018.33</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6,183.70</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r>
      <w:tr>
        <w:tblPrEx>
          <w:tblLayout w:type="fixed"/>
          <w:tblCellMar>
            <w:top w:w="0" w:type="dxa"/>
            <w:left w:w="108" w:type="dxa"/>
            <w:bottom w:w="0" w:type="dxa"/>
            <w:right w:w="108" w:type="dxa"/>
          </w:tblCellMar>
        </w:tblPrEx>
        <w:trPr>
          <w:trHeight w:val="396" w:hRule="exact"/>
        </w:trPr>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7</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208</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社会保障和就业支出</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447.77</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433.81</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13.96</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r>
      <w:tr>
        <w:tblPrEx>
          <w:tblLayout w:type="fixed"/>
          <w:tblCellMar>
            <w:top w:w="0" w:type="dxa"/>
            <w:left w:w="108" w:type="dxa"/>
            <w:bottom w:w="0" w:type="dxa"/>
            <w:right w:w="108" w:type="dxa"/>
          </w:tblCellMar>
        </w:tblPrEx>
        <w:trPr>
          <w:trHeight w:val="396" w:hRule="exact"/>
        </w:trPr>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8</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208</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05</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行政事业单位离退休</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447.77</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433.81</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13.96</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r>
      <w:tr>
        <w:tblPrEx>
          <w:tblLayout w:type="fixed"/>
          <w:tblCellMar>
            <w:top w:w="0" w:type="dxa"/>
            <w:left w:w="108" w:type="dxa"/>
            <w:bottom w:w="0" w:type="dxa"/>
            <w:right w:w="108" w:type="dxa"/>
          </w:tblCellMar>
        </w:tblPrEx>
        <w:trPr>
          <w:trHeight w:val="396" w:hRule="exact"/>
        </w:trPr>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9</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208</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05</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01</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归口管理的行政单位离退休</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142.28</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142.28</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r>
      <w:tr>
        <w:tblPrEx>
          <w:tblLayout w:type="fixed"/>
          <w:tblCellMar>
            <w:top w:w="0" w:type="dxa"/>
            <w:left w:w="108" w:type="dxa"/>
            <w:bottom w:w="0" w:type="dxa"/>
            <w:right w:w="108" w:type="dxa"/>
          </w:tblCellMar>
        </w:tblPrEx>
        <w:trPr>
          <w:trHeight w:val="396" w:hRule="exact"/>
        </w:trPr>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10</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208</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05</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05</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机关事业单位基本养老保险缴费支出★</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291.53</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291.53</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r>
      <w:tr>
        <w:tblPrEx>
          <w:tblLayout w:type="fixed"/>
          <w:tblCellMar>
            <w:top w:w="0" w:type="dxa"/>
            <w:left w:w="108" w:type="dxa"/>
            <w:bottom w:w="0" w:type="dxa"/>
            <w:right w:w="108" w:type="dxa"/>
          </w:tblCellMar>
        </w:tblPrEx>
        <w:trPr>
          <w:trHeight w:val="396" w:hRule="exact"/>
        </w:trPr>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11</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208</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05</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99</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其他行政事业单位离退休支出</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13.96</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13.96</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r>
      <w:tr>
        <w:tblPrEx>
          <w:tblLayout w:type="fixed"/>
          <w:tblCellMar>
            <w:top w:w="0" w:type="dxa"/>
            <w:left w:w="108" w:type="dxa"/>
            <w:bottom w:w="0" w:type="dxa"/>
            <w:right w:w="108" w:type="dxa"/>
          </w:tblCellMar>
        </w:tblPrEx>
        <w:trPr>
          <w:trHeight w:val="396" w:hRule="exact"/>
        </w:trPr>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12</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210</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医疗卫生与计划生育支出</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208.87</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208.27</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0.60</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r>
      <w:tr>
        <w:tblPrEx>
          <w:tblLayout w:type="fixed"/>
          <w:tblCellMar>
            <w:top w:w="0" w:type="dxa"/>
            <w:left w:w="108" w:type="dxa"/>
            <w:bottom w:w="0" w:type="dxa"/>
            <w:right w:w="108" w:type="dxa"/>
          </w:tblCellMar>
        </w:tblPrEx>
        <w:trPr>
          <w:trHeight w:val="396" w:hRule="exact"/>
        </w:trPr>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13</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210</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11</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行政事业单位医疗★</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208.27</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208.27</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r>
      <w:tr>
        <w:tblPrEx>
          <w:tblLayout w:type="fixed"/>
          <w:tblCellMar>
            <w:top w:w="0" w:type="dxa"/>
            <w:left w:w="108" w:type="dxa"/>
            <w:bottom w:w="0" w:type="dxa"/>
            <w:right w:w="108" w:type="dxa"/>
          </w:tblCellMar>
        </w:tblPrEx>
        <w:trPr>
          <w:trHeight w:val="396" w:hRule="exact"/>
        </w:trPr>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14</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210</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11</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01</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行政单位医疗★</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69.48</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69.48</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r>
      <w:tr>
        <w:tblPrEx>
          <w:tblLayout w:type="fixed"/>
          <w:tblCellMar>
            <w:top w:w="0" w:type="dxa"/>
            <w:left w:w="108" w:type="dxa"/>
            <w:bottom w:w="0" w:type="dxa"/>
            <w:right w:w="108" w:type="dxa"/>
          </w:tblCellMar>
        </w:tblPrEx>
        <w:trPr>
          <w:trHeight w:val="396" w:hRule="exact"/>
        </w:trPr>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15</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210</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11</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02</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事业单位医疗★</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138.79</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138.79</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r>
      <w:tr>
        <w:tblPrEx>
          <w:tblLayout w:type="fixed"/>
          <w:tblCellMar>
            <w:top w:w="0" w:type="dxa"/>
            <w:left w:w="108" w:type="dxa"/>
            <w:bottom w:w="0" w:type="dxa"/>
            <w:right w:w="108" w:type="dxa"/>
          </w:tblCellMar>
        </w:tblPrEx>
        <w:trPr>
          <w:trHeight w:val="396" w:hRule="exact"/>
        </w:trPr>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16</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210</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99</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其他医疗卫生与计划生育支出</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0.60</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0.60</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r>
      <w:tr>
        <w:tblPrEx>
          <w:tblLayout w:type="fixed"/>
          <w:tblCellMar>
            <w:top w:w="0" w:type="dxa"/>
            <w:left w:w="108" w:type="dxa"/>
            <w:bottom w:w="0" w:type="dxa"/>
            <w:right w:w="108" w:type="dxa"/>
          </w:tblCellMar>
        </w:tblPrEx>
        <w:trPr>
          <w:trHeight w:val="396" w:hRule="exact"/>
        </w:trPr>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17</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210</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99</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01</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其他医疗卫生与计划生育支出</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0.60</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0.60</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r>
      <w:tr>
        <w:tblPrEx>
          <w:tblLayout w:type="fixed"/>
          <w:tblCellMar>
            <w:top w:w="0" w:type="dxa"/>
            <w:left w:w="108" w:type="dxa"/>
            <w:bottom w:w="0" w:type="dxa"/>
            <w:right w:w="108" w:type="dxa"/>
          </w:tblCellMar>
        </w:tblPrEx>
        <w:trPr>
          <w:trHeight w:val="396" w:hRule="exact"/>
        </w:trPr>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18</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221</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住房保障支出</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343.33</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343.33</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r>
      <w:tr>
        <w:tblPrEx>
          <w:tblLayout w:type="fixed"/>
          <w:tblCellMar>
            <w:top w:w="0" w:type="dxa"/>
            <w:left w:w="108" w:type="dxa"/>
            <w:bottom w:w="0" w:type="dxa"/>
            <w:right w:w="108" w:type="dxa"/>
          </w:tblCellMar>
        </w:tblPrEx>
        <w:trPr>
          <w:trHeight w:val="396" w:hRule="exact"/>
        </w:trPr>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19</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221</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02</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住房改革支出</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343.33</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343.33</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r>
      <w:tr>
        <w:tblPrEx>
          <w:tblLayout w:type="fixed"/>
          <w:tblCellMar>
            <w:top w:w="0" w:type="dxa"/>
            <w:left w:w="108" w:type="dxa"/>
            <w:bottom w:w="0" w:type="dxa"/>
            <w:right w:w="108" w:type="dxa"/>
          </w:tblCellMar>
        </w:tblPrEx>
        <w:trPr>
          <w:trHeight w:val="396" w:hRule="exact"/>
        </w:trPr>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20</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221</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02</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01</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住房公积金</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161.67</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161.67</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r>
      <w:tr>
        <w:tblPrEx>
          <w:tblLayout w:type="fixed"/>
          <w:tblCellMar>
            <w:top w:w="0" w:type="dxa"/>
            <w:left w:w="108" w:type="dxa"/>
            <w:bottom w:w="0" w:type="dxa"/>
            <w:right w:w="108" w:type="dxa"/>
          </w:tblCellMar>
        </w:tblPrEx>
        <w:trPr>
          <w:trHeight w:val="396" w:hRule="exact"/>
        </w:trPr>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21</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221</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02</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03</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购房补贴</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181.66</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181.66</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4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r>
    </w:tbl>
    <w:p>
      <w:pPr>
        <w:spacing w:line="360" w:lineRule="auto"/>
        <w:ind w:left="0" w:firstLine="0"/>
        <w:jc w:val="left"/>
      </w:pPr>
    </w:p>
    <w:p>
      <w:pPr>
        <w:spacing w:line="360" w:lineRule="auto"/>
        <w:ind w:left="0" w:firstLine="0"/>
        <w:jc w:val="left"/>
      </w:pPr>
    </w:p>
    <w:p>
      <w:pPr>
        <w:spacing w:line="360" w:lineRule="auto"/>
        <w:ind w:left="0" w:firstLine="0"/>
        <w:jc w:val="center"/>
      </w:pPr>
      <w:r>
        <w:rPr>
          <w:rFonts w:hint="eastAsia" w:ascii="宋体" w:eastAsia="宋体" w:hAnsiTheme="minorEastAsia"/>
          <w:color w:val="000000"/>
        </w:rPr>
        <w:t xml:space="preserve"> 2017年度财政拨款收入支出决算总表</w:t>
      </w:r>
    </w:p>
    <w:p>
      <w:pPr>
        <w:spacing w:line="360" w:lineRule="auto"/>
        <w:ind w:left="0" w:firstLine="0"/>
        <w:jc w:val="right"/>
      </w:pPr>
      <w:r>
        <w:rPr>
          <w:rFonts w:hint="eastAsia" w:ascii="宋体" w:eastAsia="宋体" w:hAnsiTheme="minorEastAsia"/>
          <w:color w:val="000000"/>
        </w:rPr>
        <w:t xml:space="preserve"> 单位：万元</w:t>
      </w:r>
    </w:p>
    <w:tbl>
      <w:tblPr>
        <w:tblStyle w:val="20"/>
        <w:tblW w:w="8448" w:type="dxa"/>
        <w:tblInd w:w="0" w:type="dxa"/>
        <w:tblLayout w:type="fixed"/>
        <w:tblCellMar>
          <w:top w:w="0" w:type="dxa"/>
          <w:left w:w="108" w:type="dxa"/>
          <w:bottom w:w="0" w:type="dxa"/>
          <w:right w:w="108" w:type="dxa"/>
        </w:tblCellMar>
      </w:tblPr>
      <w:tblGrid>
        <w:gridCol w:w="2335"/>
        <w:gridCol w:w="1175"/>
        <w:gridCol w:w="1846"/>
        <w:gridCol w:w="1131"/>
        <w:gridCol w:w="992"/>
        <w:gridCol w:w="142"/>
        <w:gridCol w:w="142"/>
        <w:gridCol w:w="685"/>
      </w:tblGrid>
      <w:tr>
        <w:tblPrEx>
          <w:tblLayout w:type="fixed"/>
          <w:tblCellMar>
            <w:top w:w="0" w:type="dxa"/>
            <w:left w:w="108" w:type="dxa"/>
            <w:bottom w:w="0" w:type="dxa"/>
            <w:right w:w="108" w:type="dxa"/>
          </w:tblCellMar>
        </w:tblPrEx>
        <w:trPr>
          <w:trHeight w:val="256" w:hRule="atLeast"/>
        </w:trPr>
        <w:tc>
          <w:tcPr>
            <w:tcW w:w="351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收入</w:t>
            </w:r>
          </w:p>
        </w:tc>
        <w:tc>
          <w:tcPr>
            <w:tcW w:w="4938"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支出</w:t>
            </w: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项目</w:t>
            </w:r>
          </w:p>
        </w:tc>
        <w:tc>
          <w:tcPr>
            <w:tcW w:w="11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决算数</w:t>
            </w:r>
          </w:p>
        </w:tc>
        <w:tc>
          <w:tcPr>
            <w:tcW w:w="18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项目</w:t>
            </w:r>
          </w:p>
        </w:tc>
        <w:tc>
          <w:tcPr>
            <w:tcW w:w="11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合计</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一般公共预算财政拨款</w:t>
            </w:r>
          </w:p>
        </w:tc>
        <w:tc>
          <w:tcPr>
            <w:tcW w:w="96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政府性基金预算财政拨款</w:t>
            </w: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一、一般公共预算财政拨款</w:t>
            </w:r>
          </w:p>
        </w:tc>
        <w:tc>
          <w:tcPr>
            <w:tcW w:w="11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7,158.57 </w:t>
            </w:r>
          </w:p>
        </w:tc>
        <w:tc>
          <w:tcPr>
            <w:tcW w:w="18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一、一般公共服务支出</w:t>
            </w:r>
          </w:p>
        </w:tc>
        <w:tc>
          <w:tcPr>
            <w:tcW w:w="11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96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二、政府性基金预算财政拨款</w:t>
            </w:r>
          </w:p>
        </w:tc>
        <w:tc>
          <w:tcPr>
            <w:tcW w:w="11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8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二、外交支出</w:t>
            </w:r>
          </w:p>
        </w:tc>
        <w:tc>
          <w:tcPr>
            <w:tcW w:w="11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96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1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8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三、国防支出</w:t>
            </w:r>
          </w:p>
        </w:tc>
        <w:tc>
          <w:tcPr>
            <w:tcW w:w="11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96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1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8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四、公共安全支出</w:t>
            </w:r>
          </w:p>
        </w:tc>
        <w:tc>
          <w:tcPr>
            <w:tcW w:w="11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96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1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8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五、教育支出</w:t>
            </w:r>
          </w:p>
        </w:tc>
        <w:tc>
          <w:tcPr>
            <w:tcW w:w="11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6,158.6</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6,158.6 </w:t>
            </w:r>
          </w:p>
        </w:tc>
        <w:tc>
          <w:tcPr>
            <w:tcW w:w="96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1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8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六、科学技术支出</w:t>
            </w:r>
          </w:p>
        </w:tc>
        <w:tc>
          <w:tcPr>
            <w:tcW w:w="11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96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1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8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七、文化体育与传媒支出</w:t>
            </w:r>
          </w:p>
        </w:tc>
        <w:tc>
          <w:tcPr>
            <w:tcW w:w="11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96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1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8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八、社会保障和就业支出</w:t>
            </w:r>
          </w:p>
        </w:tc>
        <w:tc>
          <w:tcPr>
            <w:tcW w:w="11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447.77</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447.77 </w:t>
            </w:r>
          </w:p>
        </w:tc>
        <w:tc>
          <w:tcPr>
            <w:tcW w:w="96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1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8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九、医疗卫生与计划生育支出</w:t>
            </w:r>
          </w:p>
        </w:tc>
        <w:tc>
          <w:tcPr>
            <w:tcW w:w="11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208.87 </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208.87 </w:t>
            </w:r>
          </w:p>
        </w:tc>
        <w:tc>
          <w:tcPr>
            <w:tcW w:w="96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1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8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十、节能环保支出</w:t>
            </w:r>
          </w:p>
        </w:tc>
        <w:tc>
          <w:tcPr>
            <w:tcW w:w="11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96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1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8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十一、城乡社区支出</w:t>
            </w:r>
          </w:p>
        </w:tc>
        <w:tc>
          <w:tcPr>
            <w:tcW w:w="11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96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1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8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十二、农林水支出</w:t>
            </w:r>
          </w:p>
        </w:tc>
        <w:tc>
          <w:tcPr>
            <w:tcW w:w="11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96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1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8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十三、交通运输支出</w:t>
            </w:r>
          </w:p>
        </w:tc>
        <w:tc>
          <w:tcPr>
            <w:tcW w:w="11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96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1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8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十四、资源勘探信息等支出</w:t>
            </w:r>
          </w:p>
        </w:tc>
        <w:tc>
          <w:tcPr>
            <w:tcW w:w="11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96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1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8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十五、商业服务业等支出</w:t>
            </w:r>
          </w:p>
        </w:tc>
        <w:tc>
          <w:tcPr>
            <w:tcW w:w="11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96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1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8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十六、金融支出</w:t>
            </w:r>
          </w:p>
        </w:tc>
        <w:tc>
          <w:tcPr>
            <w:tcW w:w="11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96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1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8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十七、援助其他地区支出</w:t>
            </w:r>
          </w:p>
        </w:tc>
        <w:tc>
          <w:tcPr>
            <w:tcW w:w="11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96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1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8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十八、国土海洋气象等支出</w:t>
            </w:r>
          </w:p>
        </w:tc>
        <w:tc>
          <w:tcPr>
            <w:tcW w:w="11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2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6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1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8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十九、住房保障支出</w:t>
            </w:r>
          </w:p>
        </w:tc>
        <w:tc>
          <w:tcPr>
            <w:tcW w:w="11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343.33 </w:t>
            </w:r>
          </w:p>
        </w:tc>
        <w:tc>
          <w:tcPr>
            <w:tcW w:w="113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343.33 </w:t>
            </w:r>
          </w:p>
        </w:tc>
        <w:tc>
          <w:tcPr>
            <w:tcW w:w="82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1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8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二十、粮油物资储备支出</w:t>
            </w:r>
          </w:p>
        </w:tc>
        <w:tc>
          <w:tcPr>
            <w:tcW w:w="11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13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82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r>
      <w:tr>
        <w:tblPrEx>
          <w:tblLayout w:type="fixed"/>
          <w:tblCellMar>
            <w:top w:w="0" w:type="dxa"/>
            <w:left w:w="108" w:type="dxa"/>
            <w:bottom w:w="0" w:type="dxa"/>
            <w:right w:w="108" w:type="dxa"/>
          </w:tblCellMar>
        </w:tblPrEx>
        <w:trPr>
          <w:trHeight w:val="453" w:hRule="atLeast"/>
        </w:trPr>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1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8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二十一、其他支出</w:t>
            </w:r>
          </w:p>
        </w:tc>
        <w:tc>
          <w:tcPr>
            <w:tcW w:w="11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13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82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r>
      <w:tr>
        <w:tblPrEx>
          <w:tblLayout w:type="fixed"/>
          <w:tblCellMar>
            <w:top w:w="0" w:type="dxa"/>
            <w:left w:w="108" w:type="dxa"/>
            <w:bottom w:w="0" w:type="dxa"/>
            <w:right w:w="108" w:type="dxa"/>
          </w:tblCellMar>
        </w:tblPrEx>
        <w:trPr>
          <w:trHeight w:val="461" w:hRule="atLeast"/>
        </w:trPr>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本年收入合计</w:t>
            </w:r>
          </w:p>
        </w:tc>
        <w:tc>
          <w:tcPr>
            <w:tcW w:w="11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7,158.57 </w:t>
            </w:r>
          </w:p>
        </w:tc>
        <w:tc>
          <w:tcPr>
            <w:tcW w:w="18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本年支出合计</w:t>
            </w:r>
          </w:p>
        </w:tc>
        <w:tc>
          <w:tcPr>
            <w:tcW w:w="11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7,158.57</w:t>
            </w:r>
          </w:p>
        </w:tc>
        <w:tc>
          <w:tcPr>
            <w:tcW w:w="113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7,158.57 </w:t>
            </w:r>
          </w:p>
        </w:tc>
        <w:tc>
          <w:tcPr>
            <w:tcW w:w="82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年初财政拨款结转和结余</w:t>
            </w:r>
          </w:p>
        </w:tc>
        <w:tc>
          <w:tcPr>
            <w:tcW w:w="11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8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年末财政拨款结转和结余</w:t>
            </w:r>
          </w:p>
        </w:tc>
        <w:tc>
          <w:tcPr>
            <w:tcW w:w="11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0 </w:t>
            </w:r>
          </w:p>
        </w:tc>
        <w:tc>
          <w:tcPr>
            <w:tcW w:w="113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0</w:t>
            </w:r>
          </w:p>
        </w:tc>
        <w:tc>
          <w:tcPr>
            <w:tcW w:w="82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一般公共预算财政拨款</w:t>
            </w:r>
          </w:p>
        </w:tc>
        <w:tc>
          <w:tcPr>
            <w:tcW w:w="11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8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1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13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82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政府性基金预算财政拨款</w:t>
            </w:r>
          </w:p>
        </w:tc>
        <w:tc>
          <w:tcPr>
            <w:tcW w:w="11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8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1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13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82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r>
      <w:tr>
        <w:tblPrEx>
          <w:tblLayout w:type="fixed"/>
          <w:tblCellMar>
            <w:top w:w="0" w:type="dxa"/>
            <w:left w:w="108" w:type="dxa"/>
            <w:bottom w:w="0" w:type="dxa"/>
            <w:right w:w="108" w:type="dxa"/>
          </w:tblCellMar>
        </w:tblPrEx>
        <w:tc>
          <w:tcPr>
            <w:tcW w:w="2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总计</w:t>
            </w:r>
          </w:p>
        </w:tc>
        <w:tc>
          <w:tcPr>
            <w:tcW w:w="11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7,158.57 </w:t>
            </w:r>
          </w:p>
        </w:tc>
        <w:tc>
          <w:tcPr>
            <w:tcW w:w="18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总计</w:t>
            </w:r>
          </w:p>
        </w:tc>
        <w:tc>
          <w:tcPr>
            <w:tcW w:w="11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7,158.57 </w:t>
            </w:r>
          </w:p>
        </w:tc>
        <w:tc>
          <w:tcPr>
            <w:tcW w:w="113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7,158.57 </w:t>
            </w:r>
          </w:p>
        </w:tc>
        <w:tc>
          <w:tcPr>
            <w:tcW w:w="82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r>
    </w:tbl>
    <w:p>
      <w:pPr>
        <w:spacing w:line="360" w:lineRule="auto"/>
        <w:ind w:left="0" w:firstLine="0"/>
        <w:jc w:val="left"/>
      </w:pPr>
    </w:p>
    <w:p>
      <w:pPr>
        <w:spacing w:line="360" w:lineRule="auto"/>
        <w:ind w:left="0" w:firstLine="0"/>
        <w:jc w:val="left"/>
      </w:pPr>
    </w:p>
    <w:p>
      <w:pPr>
        <w:spacing w:line="360" w:lineRule="auto"/>
        <w:ind w:left="0" w:firstLine="0"/>
        <w:jc w:val="left"/>
      </w:pPr>
    </w:p>
    <w:p>
      <w:pPr>
        <w:spacing w:line="360" w:lineRule="auto"/>
        <w:ind w:left="0" w:firstLine="0"/>
        <w:jc w:val="center"/>
      </w:pPr>
      <w:r>
        <w:rPr>
          <w:rFonts w:hint="eastAsia" w:ascii="宋体" w:eastAsia="宋体" w:hAnsiTheme="minorEastAsia"/>
          <w:color w:val="000000"/>
        </w:rPr>
        <w:t xml:space="preserve"> 2017年度一般公共预算财政拨款支出决算表</w:t>
      </w:r>
    </w:p>
    <w:p>
      <w:pPr>
        <w:spacing w:line="360" w:lineRule="auto"/>
        <w:ind w:left="0" w:firstLine="0"/>
        <w:jc w:val="right"/>
      </w:pPr>
      <w:r>
        <w:rPr>
          <w:rFonts w:hint="eastAsia" w:ascii="宋体" w:eastAsia="宋体" w:hAnsiTheme="minorEastAsia"/>
          <w:color w:val="000000"/>
        </w:rPr>
        <w:t xml:space="preserve"> 单位：万元</w:t>
      </w:r>
    </w:p>
    <w:p>
      <w:pPr>
        <w:spacing w:line="360" w:lineRule="auto"/>
        <w:ind w:left="0" w:firstLine="0"/>
        <w:jc w:val="center"/>
      </w:pPr>
    </w:p>
    <w:tbl>
      <w:tblPr>
        <w:tblStyle w:val="20"/>
        <w:tblW w:w="8448" w:type="dxa"/>
        <w:tblInd w:w="0" w:type="dxa"/>
        <w:tblLayout w:type="fixed"/>
        <w:tblCellMar>
          <w:top w:w="0" w:type="dxa"/>
          <w:left w:w="108" w:type="dxa"/>
          <w:bottom w:w="0" w:type="dxa"/>
          <w:right w:w="108" w:type="dxa"/>
        </w:tblCellMar>
      </w:tblPr>
      <w:tblGrid>
        <w:gridCol w:w="575"/>
        <w:gridCol w:w="667"/>
        <w:gridCol w:w="567"/>
        <w:gridCol w:w="567"/>
        <w:gridCol w:w="1701"/>
        <w:gridCol w:w="1418"/>
        <w:gridCol w:w="1383"/>
        <w:gridCol w:w="1570"/>
      </w:tblGrid>
      <w:tr>
        <w:tblPrEx>
          <w:tblLayout w:type="fixed"/>
          <w:tblCellMar>
            <w:top w:w="0" w:type="dxa"/>
            <w:left w:w="108" w:type="dxa"/>
            <w:bottom w:w="0" w:type="dxa"/>
            <w:right w:w="108" w:type="dxa"/>
          </w:tblCellMar>
        </w:tblPrEx>
        <w:trPr>
          <w:trHeight w:val="396" w:hRule="exact"/>
        </w:trPr>
        <w:tc>
          <w:tcPr>
            <w:tcW w:w="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w:t>
            </w:r>
          </w:p>
        </w:tc>
        <w:tc>
          <w:tcPr>
            <w:tcW w:w="3502"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项目</w:t>
            </w:r>
          </w:p>
        </w:tc>
        <w:tc>
          <w:tcPr>
            <w:tcW w:w="4371"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一般公共预算财政拨款支出决算数</w:t>
            </w:r>
          </w:p>
        </w:tc>
      </w:tr>
      <w:tr>
        <w:tblPrEx>
          <w:tblLayout w:type="fixed"/>
          <w:tblCellMar>
            <w:top w:w="0" w:type="dxa"/>
            <w:left w:w="108" w:type="dxa"/>
            <w:bottom w:w="0" w:type="dxa"/>
            <w:right w:w="108" w:type="dxa"/>
          </w:tblCellMar>
        </w:tblPrEx>
        <w:trPr>
          <w:trHeight w:val="1190" w:hRule="exact"/>
        </w:trPr>
        <w:tc>
          <w:tcPr>
            <w:tcW w:w="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w:t>
            </w:r>
          </w:p>
        </w:tc>
        <w:tc>
          <w:tcPr>
            <w:tcW w:w="1801"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功能分类科目编码</w:t>
            </w:r>
          </w:p>
        </w:tc>
        <w:tc>
          <w:tcPr>
            <w:tcW w:w="1701"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科目名称</w:t>
            </w:r>
          </w:p>
        </w:tc>
        <w:tc>
          <w:tcPr>
            <w:tcW w:w="1418"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合计</w:t>
            </w:r>
          </w:p>
        </w:tc>
        <w:tc>
          <w:tcPr>
            <w:tcW w:w="1383"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基本支出</w:t>
            </w:r>
          </w:p>
        </w:tc>
        <w:tc>
          <w:tcPr>
            <w:tcW w:w="15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项目支出</w:t>
            </w:r>
          </w:p>
        </w:tc>
      </w:tr>
      <w:tr>
        <w:tblPrEx>
          <w:tblLayout w:type="fixed"/>
          <w:tblCellMar>
            <w:top w:w="0" w:type="dxa"/>
            <w:left w:w="108" w:type="dxa"/>
            <w:bottom w:w="0" w:type="dxa"/>
            <w:right w:w="108" w:type="dxa"/>
          </w:tblCellMar>
        </w:tblPrEx>
        <w:tc>
          <w:tcPr>
            <w:tcW w:w="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w:t>
            </w:r>
          </w:p>
        </w:tc>
        <w:tc>
          <w:tcPr>
            <w:tcW w:w="1801"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701" w:type="dxa"/>
            <w:vMerge w:val="continue"/>
          </w:tcPr>
          <w:p>
            <w:pPr>
              <w:spacing w:line="360" w:lineRule="auto"/>
              <w:ind w:left="0" w:firstLine="0"/>
              <w:jc w:val="left"/>
              <w:rPr>
                <w:rFonts w:asciiTheme="minorEastAsia" w:hAnsiTheme="minorEastAsia"/>
                <w:szCs w:val="21"/>
              </w:rPr>
            </w:pPr>
          </w:p>
        </w:tc>
        <w:tc>
          <w:tcPr>
            <w:tcW w:w="1418"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p>
        </w:tc>
        <w:tc>
          <w:tcPr>
            <w:tcW w:w="1383" w:type="dxa"/>
            <w:vMerge w:val="continue"/>
          </w:tcPr>
          <w:p>
            <w:pPr>
              <w:spacing w:line="360" w:lineRule="auto"/>
              <w:ind w:left="0" w:firstLine="0"/>
              <w:jc w:val="left"/>
              <w:rPr>
                <w:rFonts w:asciiTheme="minorEastAsia" w:hAnsiTheme="minorEastAsia"/>
                <w:szCs w:val="21"/>
              </w:rPr>
            </w:pPr>
          </w:p>
        </w:tc>
        <w:tc>
          <w:tcPr>
            <w:tcW w:w="1570" w:type="dxa"/>
            <w:vMerge w:val="continue"/>
          </w:tcPr>
          <w:p>
            <w:pPr>
              <w:spacing w:line="360" w:lineRule="auto"/>
              <w:ind w:left="0" w:firstLine="0"/>
              <w:jc w:val="left"/>
              <w:rPr>
                <w:rFonts w:asciiTheme="minorEastAsia" w:hAnsiTheme="minorEastAsia"/>
                <w:szCs w:val="21"/>
              </w:rPr>
            </w:pPr>
          </w:p>
        </w:tc>
      </w:tr>
      <w:tr>
        <w:tblPrEx>
          <w:tblLayout w:type="fixed"/>
          <w:tblCellMar>
            <w:top w:w="0" w:type="dxa"/>
            <w:left w:w="108" w:type="dxa"/>
            <w:bottom w:w="0" w:type="dxa"/>
            <w:right w:w="108" w:type="dxa"/>
          </w:tblCellMar>
        </w:tblPrEx>
        <w:trPr>
          <w:trHeight w:val="396" w:hRule="exact"/>
        </w:trPr>
        <w:tc>
          <w:tcPr>
            <w:tcW w:w="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0F0F0"/>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行号</w:t>
            </w:r>
          </w:p>
        </w:tc>
        <w:tc>
          <w:tcPr>
            <w:tcW w:w="6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类</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款</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项</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w:t>
            </w:r>
          </w:p>
        </w:tc>
        <w:tc>
          <w:tcPr>
            <w:tcW w:w="13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w:t>
            </w:r>
          </w:p>
        </w:tc>
        <w:tc>
          <w:tcPr>
            <w:tcW w:w="15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w:t>
            </w:r>
          </w:p>
        </w:tc>
      </w:tr>
      <w:tr>
        <w:tblPrEx>
          <w:tblLayout w:type="fixed"/>
          <w:tblCellMar>
            <w:top w:w="0" w:type="dxa"/>
            <w:left w:w="108" w:type="dxa"/>
            <w:bottom w:w="0" w:type="dxa"/>
            <w:right w:w="108" w:type="dxa"/>
          </w:tblCellMar>
        </w:tblPrEx>
        <w:trPr>
          <w:trHeight w:val="396" w:hRule="exact"/>
        </w:trPr>
        <w:tc>
          <w:tcPr>
            <w:tcW w:w="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1</w:t>
            </w:r>
          </w:p>
        </w:tc>
        <w:tc>
          <w:tcPr>
            <w:tcW w:w="6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合  计</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7,158.57</w:t>
            </w:r>
          </w:p>
        </w:tc>
        <w:tc>
          <w:tcPr>
            <w:tcW w:w="13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3,479.20</w:t>
            </w:r>
          </w:p>
        </w:tc>
        <w:tc>
          <w:tcPr>
            <w:tcW w:w="15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3,679.37</w:t>
            </w:r>
          </w:p>
        </w:tc>
      </w:tr>
      <w:tr>
        <w:tblPrEx>
          <w:tblLayout w:type="fixed"/>
          <w:tblCellMar>
            <w:top w:w="0" w:type="dxa"/>
            <w:left w:w="108" w:type="dxa"/>
            <w:bottom w:w="0" w:type="dxa"/>
            <w:right w:w="108" w:type="dxa"/>
          </w:tblCellMar>
        </w:tblPrEx>
        <w:trPr>
          <w:trHeight w:val="396" w:hRule="exact"/>
        </w:trPr>
        <w:tc>
          <w:tcPr>
            <w:tcW w:w="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2</w:t>
            </w:r>
          </w:p>
        </w:tc>
        <w:tc>
          <w:tcPr>
            <w:tcW w:w="6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205</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教育支出</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6,158.60</w:t>
            </w:r>
          </w:p>
        </w:tc>
        <w:tc>
          <w:tcPr>
            <w:tcW w:w="13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2,493.80</w:t>
            </w:r>
          </w:p>
        </w:tc>
        <w:tc>
          <w:tcPr>
            <w:tcW w:w="15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3,664.81</w:t>
            </w:r>
          </w:p>
        </w:tc>
      </w:tr>
      <w:tr>
        <w:tblPrEx>
          <w:tblLayout w:type="fixed"/>
          <w:tblCellMar>
            <w:top w:w="0" w:type="dxa"/>
            <w:left w:w="108" w:type="dxa"/>
            <w:bottom w:w="0" w:type="dxa"/>
            <w:right w:w="108" w:type="dxa"/>
          </w:tblCellMar>
        </w:tblPrEx>
        <w:trPr>
          <w:trHeight w:val="396" w:hRule="exact"/>
        </w:trPr>
        <w:tc>
          <w:tcPr>
            <w:tcW w:w="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3</w:t>
            </w:r>
          </w:p>
        </w:tc>
        <w:tc>
          <w:tcPr>
            <w:tcW w:w="6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205</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01</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教育管理事务</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1,475.47</w:t>
            </w:r>
          </w:p>
        </w:tc>
        <w:tc>
          <w:tcPr>
            <w:tcW w:w="13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1,475.47</w:t>
            </w:r>
          </w:p>
        </w:tc>
        <w:tc>
          <w:tcPr>
            <w:tcW w:w="15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r>
      <w:tr>
        <w:tblPrEx>
          <w:tblLayout w:type="fixed"/>
          <w:tblCellMar>
            <w:top w:w="0" w:type="dxa"/>
            <w:left w:w="108" w:type="dxa"/>
            <w:bottom w:w="0" w:type="dxa"/>
            <w:right w:w="108" w:type="dxa"/>
          </w:tblCellMar>
        </w:tblPrEx>
        <w:trPr>
          <w:trHeight w:val="396" w:hRule="exact"/>
        </w:trPr>
        <w:tc>
          <w:tcPr>
            <w:tcW w:w="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4</w:t>
            </w:r>
          </w:p>
        </w:tc>
        <w:tc>
          <w:tcPr>
            <w:tcW w:w="6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205</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01</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01</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行政运行</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1,475.47</w:t>
            </w:r>
          </w:p>
        </w:tc>
        <w:tc>
          <w:tcPr>
            <w:tcW w:w="13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1,475.47</w:t>
            </w:r>
          </w:p>
        </w:tc>
        <w:tc>
          <w:tcPr>
            <w:tcW w:w="15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r>
      <w:tr>
        <w:tblPrEx>
          <w:tblLayout w:type="fixed"/>
          <w:tblCellMar>
            <w:top w:w="0" w:type="dxa"/>
            <w:left w:w="108" w:type="dxa"/>
            <w:bottom w:w="0" w:type="dxa"/>
            <w:right w:w="108" w:type="dxa"/>
          </w:tblCellMar>
        </w:tblPrEx>
        <w:trPr>
          <w:trHeight w:val="396" w:hRule="exact"/>
        </w:trPr>
        <w:tc>
          <w:tcPr>
            <w:tcW w:w="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5</w:t>
            </w:r>
          </w:p>
        </w:tc>
        <w:tc>
          <w:tcPr>
            <w:tcW w:w="6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205</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08</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进修及培训</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4,683.14</w:t>
            </w:r>
          </w:p>
        </w:tc>
        <w:tc>
          <w:tcPr>
            <w:tcW w:w="13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1,018.33</w:t>
            </w:r>
          </w:p>
        </w:tc>
        <w:tc>
          <w:tcPr>
            <w:tcW w:w="15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3,664.81</w:t>
            </w:r>
          </w:p>
        </w:tc>
      </w:tr>
      <w:tr>
        <w:tblPrEx>
          <w:tblLayout w:type="fixed"/>
          <w:tblCellMar>
            <w:top w:w="0" w:type="dxa"/>
            <w:left w:w="108" w:type="dxa"/>
            <w:bottom w:w="0" w:type="dxa"/>
            <w:right w:w="108" w:type="dxa"/>
          </w:tblCellMar>
        </w:tblPrEx>
        <w:trPr>
          <w:trHeight w:val="396" w:hRule="exact"/>
        </w:trPr>
        <w:tc>
          <w:tcPr>
            <w:tcW w:w="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6</w:t>
            </w:r>
          </w:p>
        </w:tc>
        <w:tc>
          <w:tcPr>
            <w:tcW w:w="6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205</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08</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02</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干部教育</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4,683.14</w:t>
            </w:r>
          </w:p>
        </w:tc>
        <w:tc>
          <w:tcPr>
            <w:tcW w:w="13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1,018.33</w:t>
            </w:r>
          </w:p>
        </w:tc>
        <w:tc>
          <w:tcPr>
            <w:tcW w:w="15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3,664.81</w:t>
            </w:r>
          </w:p>
        </w:tc>
      </w:tr>
      <w:tr>
        <w:tblPrEx>
          <w:tblLayout w:type="fixed"/>
          <w:tblCellMar>
            <w:top w:w="0" w:type="dxa"/>
            <w:left w:w="108" w:type="dxa"/>
            <w:bottom w:w="0" w:type="dxa"/>
            <w:right w:w="108" w:type="dxa"/>
          </w:tblCellMar>
        </w:tblPrEx>
        <w:trPr>
          <w:trHeight w:val="396" w:hRule="exact"/>
        </w:trPr>
        <w:tc>
          <w:tcPr>
            <w:tcW w:w="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7</w:t>
            </w:r>
          </w:p>
        </w:tc>
        <w:tc>
          <w:tcPr>
            <w:tcW w:w="6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208</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社会保障和就业支出</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447.77</w:t>
            </w:r>
          </w:p>
        </w:tc>
        <w:tc>
          <w:tcPr>
            <w:tcW w:w="13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433.81</w:t>
            </w:r>
          </w:p>
        </w:tc>
        <w:tc>
          <w:tcPr>
            <w:tcW w:w="15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13.96</w:t>
            </w:r>
          </w:p>
        </w:tc>
      </w:tr>
      <w:tr>
        <w:tblPrEx>
          <w:tblLayout w:type="fixed"/>
          <w:tblCellMar>
            <w:top w:w="0" w:type="dxa"/>
            <w:left w:w="108" w:type="dxa"/>
            <w:bottom w:w="0" w:type="dxa"/>
            <w:right w:w="108" w:type="dxa"/>
          </w:tblCellMar>
        </w:tblPrEx>
        <w:trPr>
          <w:trHeight w:val="396" w:hRule="exact"/>
        </w:trPr>
        <w:tc>
          <w:tcPr>
            <w:tcW w:w="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8</w:t>
            </w:r>
          </w:p>
        </w:tc>
        <w:tc>
          <w:tcPr>
            <w:tcW w:w="6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208</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05</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行政事业单位离退休</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447.77</w:t>
            </w:r>
          </w:p>
        </w:tc>
        <w:tc>
          <w:tcPr>
            <w:tcW w:w="13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433.81</w:t>
            </w:r>
          </w:p>
        </w:tc>
        <w:tc>
          <w:tcPr>
            <w:tcW w:w="15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13.96</w:t>
            </w:r>
          </w:p>
        </w:tc>
      </w:tr>
      <w:tr>
        <w:tblPrEx>
          <w:tblLayout w:type="fixed"/>
          <w:tblCellMar>
            <w:top w:w="0" w:type="dxa"/>
            <w:left w:w="108" w:type="dxa"/>
            <w:bottom w:w="0" w:type="dxa"/>
            <w:right w:w="108" w:type="dxa"/>
          </w:tblCellMar>
        </w:tblPrEx>
        <w:trPr>
          <w:trHeight w:val="396" w:hRule="exact"/>
        </w:trPr>
        <w:tc>
          <w:tcPr>
            <w:tcW w:w="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9</w:t>
            </w:r>
          </w:p>
        </w:tc>
        <w:tc>
          <w:tcPr>
            <w:tcW w:w="6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208</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05</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01</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归口管理的行政单位离退休</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142.28</w:t>
            </w:r>
          </w:p>
        </w:tc>
        <w:tc>
          <w:tcPr>
            <w:tcW w:w="13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142.28</w:t>
            </w:r>
          </w:p>
        </w:tc>
        <w:tc>
          <w:tcPr>
            <w:tcW w:w="15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r>
      <w:tr>
        <w:tblPrEx>
          <w:tblLayout w:type="fixed"/>
          <w:tblCellMar>
            <w:top w:w="0" w:type="dxa"/>
            <w:left w:w="108" w:type="dxa"/>
            <w:bottom w:w="0" w:type="dxa"/>
            <w:right w:w="108" w:type="dxa"/>
          </w:tblCellMar>
        </w:tblPrEx>
        <w:trPr>
          <w:trHeight w:val="396" w:hRule="exact"/>
        </w:trPr>
        <w:tc>
          <w:tcPr>
            <w:tcW w:w="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10</w:t>
            </w:r>
          </w:p>
        </w:tc>
        <w:tc>
          <w:tcPr>
            <w:tcW w:w="6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208</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05</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05</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机关事业单位基本养老保险缴费支出★</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291.53</w:t>
            </w:r>
          </w:p>
        </w:tc>
        <w:tc>
          <w:tcPr>
            <w:tcW w:w="13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291.53</w:t>
            </w:r>
          </w:p>
        </w:tc>
        <w:tc>
          <w:tcPr>
            <w:tcW w:w="15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r>
      <w:tr>
        <w:tblPrEx>
          <w:tblLayout w:type="fixed"/>
          <w:tblCellMar>
            <w:top w:w="0" w:type="dxa"/>
            <w:left w:w="108" w:type="dxa"/>
            <w:bottom w:w="0" w:type="dxa"/>
            <w:right w:w="108" w:type="dxa"/>
          </w:tblCellMar>
        </w:tblPrEx>
        <w:trPr>
          <w:trHeight w:val="396" w:hRule="exact"/>
        </w:trPr>
        <w:tc>
          <w:tcPr>
            <w:tcW w:w="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11</w:t>
            </w:r>
          </w:p>
        </w:tc>
        <w:tc>
          <w:tcPr>
            <w:tcW w:w="6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208</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05</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99</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其他行政事业单位离退休支出</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13.96</w:t>
            </w:r>
          </w:p>
        </w:tc>
        <w:tc>
          <w:tcPr>
            <w:tcW w:w="13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15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13.96</w:t>
            </w:r>
          </w:p>
        </w:tc>
      </w:tr>
      <w:tr>
        <w:tblPrEx>
          <w:tblLayout w:type="fixed"/>
          <w:tblCellMar>
            <w:top w:w="0" w:type="dxa"/>
            <w:left w:w="108" w:type="dxa"/>
            <w:bottom w:w="0" w:type="dxa"/>
            <w:right w:w="108" w:type="dxa"/>
          </w:tblCellMar>
        </w:tblPrEx>
        <w:trPr>
          <w:trHeight w:val="396" w:hRule="exact"/>
        </w:trPr>
        <w:tc>
          <w:tcPr>
            <w:tcW w:w="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12</w:t>
            </w:r>
          </w:p>
        </w:tc>
        <w:tc>
          <w:tcPr>
            <w:tcW w:w="6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210</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医疗卫生与计划生育支出</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208.87</w:t>
            </w:r>
          </w:p>
        </w:tc>
        <w:tc>
          <w:tcPr>
            <w:tcW w:w="13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208.27</w:t>
            </w:r>
          </w:p>
        </w:tc>
        <w:tc>
          <w:tcPr>
            <w:tcW w:w="15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0.60</w:t>
            </w:r>
          </w:p>
        </w:tc>
      </w:tr>
      <w:tr>
        <w:tblPrEx>
          <w:tblLayout w:type="fixed"/>
          <w:tblCellMar>
            <w:top w:w="0" w:type="dxa"/>
            <w:left w:w="108" w:type="dxa"/>
            <w:bottom w:w="0" w:type="dxa"/>
            <w:right w:w="108" w:type="dxa"/>
          </w:tblCellMar>
        </w:tblPrEx>
        <w:trPr>
          <w:trHeight w:val="396" w:hRule="exact"/>
        </w:trPr>
        <w:tc>
          <w:tcPr>
            <w:tcW w:w="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13</w:t>
            </w:r>
          </w:p>
        </w:tc>
        <w:tc>
          <w:tcPr>
            <w:tcW w:w="6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210</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11</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行政事业单位医疗★</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208.27</w:t>
            </w:r>
          </w:p>
        </w:tc>
        <w:tc>
          <w:tcPr>
            <w:tcW w:w="13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208.27</w:t>
            </w:r>
          </w:p>
        </w:tc>
        <w:tc>
          <w:tcPr>
            <w:tcW w:w="15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r>
      <w:tr>
        <w:tblPrEx>
          <w:tblLayout w:type="fixed"/>
          <w:tblCellMar>
            <w:top w:w="0" w:type="dxa"/>
            <w:left w:w="108" w:type="dxa"/>
            <w:bottom w:w="0" w:type="dxa"/>
            <w:right w:w="108" w:type="dxa"/>
          </w:tblCellMar>
        </w:tblPrEx>
        <w:trPr>
          <w:trHeight w:val="396" w:hRule="exact"/>
        </w:trPr>
        <w:tc>
          <w:tcPr>
            <w:tcW w:w="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14</w:t>
            </w:r>
          </w:p>
        </w:tc>
        <w:tc>
          <w:tcPr>
            <w:tcW w:w="6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210</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11</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01</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行政单位医疗★</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69.48</w:t>
            </w:r>
          </w:p>
        </w:tc>
        <w:tc>
          <w:tcPr>
            <w:tcW w:w="13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69.48</w:t>
            </w:r>
          </w:p>
        </w:tc>
        <w:tc>
          <w:tcPr>
            <w:tcW w:w="15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r>
      <w:tr>
        <w:tblPrEx>
          <w:tblLayout w:type="fixed"/>
          <w:tblCellMar>
            <w:top w:w="0" w:type="dxa"/>
            <w:left w:w="108" w:type="dxa"/>
            <w:bottom w:w="0" w:type="dxa"/>
            <w:right w:w="108" w:type="dxa"/>
          </w:tblCellMar>
        </w:tblPrEx>
        <w:trPr>
          <w:trHeight w:val="396" w:hRule="exact"/>
        </w:trPr>
        <w:tc>
          <w:tcPr>
            <w:tcW w:w="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15</w:t>
            </w:r>
          </w:p>
        </w:tc>
        <w:tc>
          <w:tcPr>
            <w:tcW w:w="6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210</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11</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02</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事业单位医疗★</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138.79</w:t>
            </w:r>
          </w:p>
        </w:tc>
        <w:tc>
          <w:tcPr>
            <w:tcW w:w="13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138.79</w:t>
            </w:r>
          </w:p>
        </w:tc>
        <w:tc>
          <w:tcPr>
            <w:tcW w:w="15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r>
      <w:tr>
        <w:tblPrEx>
          <w:tblLayout w:type="fixed"/>
          <w:tblCellMar>
            <w:top w:w="0" w:type="dxa"/>
            <w:left w:w="108" w:type="dxa"/>
            <w:bottom w:w="0" w:type="dxa"/>
            <w:right w:w="108" w:type="dxa"/>
          </w:tblCellMar>
        </w:tblPrEx>
        <w:trPr>
          <w:trHeight w:val="396" w:hRule="exact"/>
        </w:trPr>
        <w:tc>
          <w:tcPr>
            <w:tcW w:w="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16</w:t>
            </w:r>
          </w:p>
        </w:tc>
        <w:tc>
          <w:tcPr>
            <w:tcW w:w="6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210</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99</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其他医疗卫生与计划生育支出</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0.60</w:t>
            </w:r>
          </w:p>
        </w:tc>
        <w:tc>
          <w:tcPr>
            <w:tcW w:w="13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15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0.60</w:t>
            </w:r>
          </w:p>
        </w:tc>
      </w:tr>
      <w:tr>
        <w:tblPrEx>
          <w:tblLayout w:type="fixed"/>
          <w:tblCellMar>
            <w:top w:w="0" w:type="dxa"/>
            <w:left w:w="108" w:type="dxa"/>
            <w:bottom w:w="0" w:type="dxa"/>
            <w:right w:w="108" w:type="dxa"/>
          </w:tblCellMar>
        </w:tblPrEx>
        <w:trPr>
          <w:trHeight w:val="396" w:hRule="exact"/>
        </w:trPr>
        <w:tc>
          <w:tcPr>
            <w:tcW w:w="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17</w:t>
            </w:r>
          </w:p>
        </w:tc>
        <w:tc>
          <w:tcPr>
            <w:tcW w:w="6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210</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99</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01</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其他医疗卫生与计划生育支出</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0.60</w:t>
            </w:r>
          </w:p>
        </w:tc>
        <w:tc>
          <w:tcPr>
            <w:tcW w:w="13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c>
          <w:tcPr>
            <w:tcW w:w="15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0.60</w:t>
            </w:r>
          </w:p>
        </w:tc>
      </w:tr>
      <w:tr>
        <w:tblPrEx>
          <w:tblLayout w:type="fixed"/>
          <w:tblCellMar>
            <w:top w:w="0" w:type="dxa"/>
            <w:left w:w="108" w:type="dxa"/>
            <w:bottom w:w="0" w:type="dxa"/>
            <w:right w:w="108" w:type="dxa"/>
          </w:tblCellMar>
        </w:tblPrEx>
        <w:trPr>
          <w:trHeight w:val="396" w:hRule="exact"/>
        </w:trPr>
        <w:tc>
          <w:tcPr>
            <w:tcW w:w="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18</w:t>
            </w:r>
          </w:p>
        </w:tc>
        <w:tc>
          <w:tcPr>
            <w:tcW w:w="6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221</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住房保障支出</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343.33</w:t>
            </w:r>
          </w:p>
        </w:tc>
        <w:tc>
          <w:tcPr>
            <w:tcW w:w="13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343.33</w:t>
            </w:r>
          </w:p>
        </w:tc>
        <w:tc>
          <w:tcPr>
            <w:tcW w:w="15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r>
      <w:tr>
        <w:tblPrEx>
          <w:tblLayout w:type="fixed"/>
          <w:tblCellMar>
            <w:top w:w="0" w:type="dxa"/>
            <w:left w:w="108" w:type="dxa"/>
            <w:bottom w:w="0" w:type="dxa"/>
            <w:right w:w="108" w:type="dxa"/>
          </w:tblCellMar>
        </w:tblPrEx>
        <w:trPr>
          <w:trHeight w:val="396" w:hRule="exact"/>
        </w:trPr>
        <w:tc>
          <w:tcPr>
            <w:tcW w:w="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19</w:t>
            </w:r>
          </w:p>
        </w:tc>
        <w:tc>
          <w:tcPr>
            <w:tcW w:w="6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221</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02</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住房改革支出</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343.33</w:t>
            </w:r>
          </w:p>
        </w:tc>
        <w:tc>
          <w:tcPr>
            <w:tcW w:w="13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343.33</w:t>
            </w:r>
          </w:p>
        </w:tc>
        <w:tc>
          <w:tcPr>
            <w:tcW w:w="15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r>
      <w:tr>
        <w:tblPrEx>
          <w:tblLayout w:type="fixed"/>
          <w:tblCellMar>
            <w:top w:w="0" w:type="dxa"/>
            <w:left w:w="108" w:type="dxa"/>
            <w:bottom w:w="0" w:type="dxa"/>
            <w:right w:w="108" w:type="dxa"/>
          </w:tblCellMar>
        </w:tblPrEx>
        <w:trPr>
          <w:trHeight w:val="396" w:hRule="exact"/>
        </w:trPr>
        <w:tc>
          <w:tcPr>
            <w:tcW w:w="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20</w:t>
            </w:r>
          </w:p>
        </w:tc>
        <w:tc>
          <w:tcPr>
            <w:tcW w:w="6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221</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02</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01</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住房公积金</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161.67</w:t>
            </w:r>
          </w:p>
        </w:tc>
        <w:tc>
          <w:tcPr>
            <w:tcW w:w="13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161.67</w:t>
            </w:r>
          </w:p>
        </w:tc>
        <w:tc>
          <w:tcPr>
            <w:tcW w:w="15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r>
      <w:tr>
        <w:tblPrEx>
          <w:tblLayout w:type="fixed"/>
          <w:tblCellMar>
            <w:top w:w="0" w:type="dxa"/>
            <w:left w:w="108" w:type="dxa"/>
            <w:bottom w:w="0" w:type="dxa"/>
            <w:right w:w="108" w:type="dxa"/>
          </w:tblCellMar>
        </w:tblPrEx>
        <w:trPr>
          <w:trHeight w:val="396" w:hRule="exact"/>
        </w:trPr>
        <w:tc>
          <w:tcPr>
            <w:tcW w:w="5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rPr>
                <w:rFonts w:asciiTheme="minorEastAsia" w:hAnsiTheme="minorEastAsia"/>
                <w:szCs w:val="21"/>
              </w:rPr>
            </w:pPr>
            <w:r>
              <w:rPr>
                <w:rFonts w:hint="eastAsia" w:asciiTheme="minorEastAsia" w:hAnsiTheme="minorEastAsia"/>
                <w:color w:val="000000"/>
                <w:szCs w:val="21"/>
              </w:rPr>
              <w:t xml:space="preserve"> 21</w:t>
            </w:r>
          </w:p>
        </w:tc>
        <w:tc>
          <w:tcPr>
            <w:tcW w:w="6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221</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02</w:t>
            </w:r>
          </w:p>
        </w:tc>
        <w:tc>
          <w:tcPr>
            <w:tcW w:w="56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03</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szCs w:val="21"/>
              </w:rPr>
            </w:pPr>
            <w:r>
              <w:rPr>
                <w:rFonts w:hint="eastAsia" w:asciiTheme="minorEastAsia" w:hAnsiTheme="minorEastAsia"/>
                <w:color w:val="000000"/>
                <w:szCs w:val="21"/>
              </w:rPr>
              <w:t xml:space="preserve"> 购房补贴</w:t>
            </w:r>
          </w:p>
        </w:tc>
        <w:tc>
          <w:tcPr>
            <w:tcW w:w="141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181.66</w:t>
            </w:r>
          </w:p>
        </w:tc>
        <w:tc>
          <w:tcPr>
            <w:tcW w:w="13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181.66</w:t>
            </w:r>
          </w:p>
        </w:tc>
        <w:tc>
          <w:tcPr>
            <w:tcW w:w="15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szCs w:val="21"/>
              </w:rPr>
            </w:pPr>
            <w:r>
              <w:rPr>
                <w:rFonts w:hint="eastAsia" w:asciiTheme="minorEastAsia" w:hAnsiTheme="minorEastAsia"/>
                <w:color w:val="000000"/>
                <w:szCs w:val="21"/>
              </w:rPr>
              <w:t xml:space="preserve">  </w:t>
            </w:r>
          </w:p>
        </w:tc>
      </w:tr>
    </w:tbl>
    <w:p>
      <w:pPr>
        <w:spacing w:line="360" w:lineRule="auto"/>
        <w:ind w:left="0" w:firstLine="0"/>
        <w:jc w:val="left"/>
      </w:pPr>
    </w:p>
    <w:p>
      <w:pPr>
        <w:spacing w:line="360" w:lineRule="auto"/>
        <w:ind w:left="0" w:firstLine="0"/>
        <w:jc w:val="left"/>
      </w:pPr>
    </w:p>
    <w:p>
      <w:pPr>
        <w:spacing w:line="360" w:lineRule="auto"/>
        <w:ind w:left="0" w:firstLine="0"/>
        <w:jc w:val="center"/>
      </w:pPr>
      <w:r>
        <w:rPr>
          <w:rFonts w:hint="eastAsia" w:ascii="宋体" w:eastAsia="宋体" w:hAnsiTheme="minorEastAsia"/>
          <w:color w:val="000000"/>
        </w:rPr>
        <w:t xml:space="preserve"> 2017年度一般公共预算财政拨款基本支出决算表</w:t>
      </w:r>
    </w:p>
    <w:p>
      <w:pPr>
        <w:spacing w:line="360" w:lineRule="auto"/>
        <w:ind w:left="0" w:firstLine="0"/>
        <w:jc w:val="right"/>
      </w:pPr>
      <w:r>
        <w:rPr>
          <w:rFonts w:hint="eastAsia" w:ascii="宋体" w:eastAsia="宋体" w:hAnsiTheme="minorEastAsia"/>
          <w:color w:val="000000"/>
        </w:rPr>
        <w:t xml:space="preserve"> 单位：万元</w:t>
      </w:r>
    </w:p>
    <w:tbl>
      <w:tblPr>
        <w:tblStyle w:val="20"/>
        <w:tblW w:w="8448" w:type="dxa"/>
        <w:jc w:val="center"/>
        <w:tblInd w:w="0" w:type="dxa"/>
        <w:tblLayout w:type="fixed"/>
        <w:tblCellMar>
          <w:top w:w="0" w:type="dxa"/>
          <w:left w:w="108" w:type="dxa"/>
          <w:bottom w:w="0" w:type="dxa"/>
          <w:right w:w="108" w:type="dxa"/>
        </w:tblCellMar>
      </w:tblPr>
      <w:tblGrid>
        <w:gridCol w:w="531"/>
        <w:gridCol w:w="426"/>
        <w:gridCol w:w="2088"/>
        <w:gridCol w:w="1349"/>
        <w:gridCol w:w="2037"/>
        <w:gridCol w:w="2017"/>
      </w:tblGrid>
      <w:tr>
        <w:tblPrEx>
          <w:tblLayout w:type="fixed"/>
          <w:tblCellMar>
            <w:top w:w="0" w:type="dxa"/>
            <w:left w:w="108" w:type="dxa"/>
            <w:bottom w:w="0" w:type="dxa"/>
            <w:right w:w="108" w:type="dxa"/>
          </w:tblCellMar>
        </w:tblPrEx>
        <w:trPr>
          <w:trHeight w:val="409" w:hRule="atLeast"/>
          <w:jc w:val="center"/>
        </w:trPr>
        <w:tc>
          <w:tcPr>
            <w:tcW w:w="304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项目</w:t>
            </w:r>
          </w:p>
        </w:tc>
        <w:tc>
          <w:tcPr>
            <w:tcW w:w="1349"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合计</w:t>
            </w:r>
          </w:p>
        </w:tc>
        <w:tc>
          <w:tcPr>
            <w:tcW w:w="203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人员经费</w:t>
            </w:r>
          </w:p>
        </w:tc>
        <w:tc>
          <w:tcPr>
            <w:tcW w:w="201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公用经费</w:t>
            </w:r>
          </w:p>
        </w:tc>
      </w:tr>
      <w:tr>
        <w:tblPrEx>
          <w:tblLayout w:type="fixed"/>
          <w:tblCellMar>
            <w:top w:w="0" w:type="dxa"/>
            <w:left w:w="108" w:type="dxa"/>
            <w:bottom w:w="0" w:type="dxa"/>
            <w:right w:w="108" w:type="dxa"/>
          </w:tblCellMar>
        </w:tblPrEx>
        <w:trPr>
          <w:trHeight w:val="409" w:hRule="atLeast"/>
          <w:jc w:val="center"/>
        </w:trPr>
        <w:tc>
          <w:tcPr>
            <w:tcW w:w="95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经济分类科目编码</w:t>
            </w:r>
          </w:p>
        </w:tc>
        <w:tc>
          <w:tcPr>
            <w:tcW w:w="2088"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科目名称</w:t>
            </w:r>
          </w:p>
        </w:tc>
        <w:tc>
          <w:tcPr>
            <w:tcW w:w="134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p>
        </w:tc>
        <w:tc>
          <w:tcPr>
            <w:tcW w:w="2037"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p>
        </w:tc>
        <w:tc>
          <w:tcPr>
            <w:tcW w:w="2017"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类</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款</w:t>
            </w:r>
          </w:p>
        </w:tc>
        <w:tc>
          <w:tcPr>
            <w:tcW w:w="2088" w:type="dxa"/>
            <w:vMerge w:val="continue"/>
          </w:tcPr>
          <w:p>
            <w:pPr>
              <w:spacing w:line="360" w:lineRule="auto"/>
              <w:ind w:left="0" w:firstLine="0"/>
              <w:jc w:val="left"/>
              <w:rPr>
                <w:rFonts w:asciiTheme="minorEastAsia" w:hAnsiTheme="minorEastAsia"/>
                <w:color w:val="000000"/>
                <w:szCs w:val="21"/>
              </w:rPr>
            </w:pPr>
          </w:p>
        </w:tc>
        <w:tc>
          <w:tcPr>
            <w:tcW w:w="134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p>
        </w:tc>
        <w:tc>
          <w:tcPr>
            <w:tcW w:w="2037"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p>
        </w:tc>
        <w:tc>
          <w:tcPr>
            <w:tcW w:w="2017"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p>
        </w:tc>
      </w:tr>
      <w:tr>
        <w:tblPrEx>
          <w:tblLayout w:type="fixed"/>
          <w:tblCellMar>
            <w:top w:w="0" w:type="dxa"/>
            <w:left w:w="108" w:type="dxa"/>
            <w:bottom w:w="0" w:type="dxa"/>
            <w:right w:w="108" w:type="dxa"/>
          </w:tblCellMar>
        </w:tblPrEx>
        <w:trPr>
          <w:trHeight w:val="570" w:hRule="atLeast"/>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301</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工资福利支出</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2,531.12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2,531.12 </w:t>
            </w: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301</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01</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基本工资</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497.69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497.69 </w:t>
            </w: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r>
      <w:tr>
        <w:tblPrEx>
          <w:tblLayout w:type="fixed"/>
          <w:tblCellMar>
            <w:top w:w="0" w:type="dxa"/>
            <w:left w:w="108" w:type="dxa"/>
            <w:bottom w:w="0" w:type="dxa"/>
            <w:right w:w="108" w:type="dxa"/>
          </w:tblCellMar>
        </w:tblPrEx>
        <w:trPr>
          <w:trHeight w:val="699" w:hRule="atLeast"/>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301</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02</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津贴补贴</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477.62</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477.62 </w:t>
            </w: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r>
      <w:tr>
        <w:tblPrEx>
          <w:tblLayout w:type="fixed"/>
          <w:tblCellMar>
            <w:top w:w="0" w:type="dxa"/>
            <w:left w:w="108" w:type="dxa"/>
            <w:bottom w:w="0" w:type="dxa"/>
            <w:right w:w="108" w:type="dxa"/>
          </w:tblCellMar>
        </w:tblPrEx>
        <w:trPr>
          <w:trHeight w:val="583" w:hRule="atLeast"/>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301</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03</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奖金</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163.32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163.32 </w:t>
            </w: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301</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04</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其他社会保障缴费</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234.02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234.02 </w:t>
            </w: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301</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06</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伙食补助费</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301</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07</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绩效工资</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832.05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832.05 </w:t>
            </w: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301</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08</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机关事业单位基本养老保险缴费</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291.52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291.52</w:t>
            </w: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301</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09</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职业年金缴费</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301</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99</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其他工资福利支出</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34.89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34.89 </w:t>
            </w: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商品和服务支出</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461.51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461.51 </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01</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办公费</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26.64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26.64 </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02</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印刷费</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12.14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12.14</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03</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咨询费</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4.53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4.53 </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04</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手续费</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0.18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0.18 </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05</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水费</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40.25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40.25 </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06</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电费</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144.07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144.07 </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07</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邮电费</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36.82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36.82</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08</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取暖费</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09</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物业管理费</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11</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差旅费</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2.24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2.24 </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12</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因公出国（境）费用 </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36.76</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36.76 </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13</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维修（护）费</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14</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租赁费</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15</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会议费</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1.38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1.38 </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16</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培训费</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2.41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2.41 </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17</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公务接待费</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0.82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0.82 </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18</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专用材料费</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24</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被装购置费</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25</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专用燃料费</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13.53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13.53 </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26</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劳务费</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27</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委托业务费</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28</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工会经费</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30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30 </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29</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福利费</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43.2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43.2 </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31</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公务用车运行维护费</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21.03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21.03 </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39</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其他交通费用</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44.88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44.88 </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40</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税金及附加费用</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r>
      <w:tr>
        <w:tblPrEx>
          <w:tblLayout w:type="fixed"/>
          <w:tblCellMar>
            <w:top w:w="0" w:type="dxa"/>
            <w:left w:w="108" w:type="dxa"/>
            <w:bottom w:w="0" w:type="dxa"/>
            <w:right w:w="108" w:type="dxa"/>
          </w:tblCellMar>
        </w:tblPrEx>
        <w:trPr>
          <w:trHeight w:val="1072" w:hRule="atLeast"/>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302</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99</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其他商品和服务支出</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0.62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0.62 </w:t>
            </w: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303</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对个人和家庭的补助</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486.57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486.57 </w:t>
            </w: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303</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01</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离休费</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140.99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140.99 </w:t>
            </w: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303</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02</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退休费</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1.3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1.3 </w:t>
            </w: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r>
      <w:tr>
        <w:tblPrEx>
          <w:tblLayout w:type="fixed"/>
          <w:tblCellMar>
            <w:top w:w="0" w:type="dxa"/>
            <w:left w:w="108" w:type="dxa"/>
            <w:bottom w:w="0" w:type="dxa"/>
            <w:right w:w="108" w:type="dxa"/>
          </w:tblCellMar>
        </w:tblPrEx>
        <w:trPr>
          <w:trHeight w:val="628" w:hRule="atLeast"/>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303</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03</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退职（役）费</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303</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04</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抚恤金</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303</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05</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生活补助</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303</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07</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医疗费</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303</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08</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助学金</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303</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09</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奖励金</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303</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11</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住房公积金</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161.67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161.67 </w:t>
            </w: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303</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12</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提租补贴</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303</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13</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购房补贴</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181.67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181.67 </w:t>
            </w: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303</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99</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其他对个人和家庭的补助支出</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0.95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0.95 </w:t>
            </w: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r>
      <w:tr>
        <w:tblPrEx>
          <w:tblLayout w:type="fixed"/>
          <w:tblCellMar>
            <w:top w:w="0" w:type="dxa"/>
            <w:left w:w="108" w:type="dxa"/>
            <w:bottom w:w="0" w:type="dxa"/>
            <w:right w:w="108" w:type="dxa"/>
          </w:tblCellMar>
        </w:tblPrEx>
        <w:trPr>
          <w:trHeight w:val="757" w:hRule="atLeast"/>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310</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其他资本性支出</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310</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02</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办公设备购置</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310</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03</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专用设备购置</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r>
      <w:tr>
        <w:tblPrEx>
          <w:tblLayout w:type="fixed"/>
          <w:tblCellMar>
            <w:top w:w="0" w:type="dxa"/>
            <w:left w:w="108" w:type="dxa"/>
            <w:bottom w:w="0" w:type="dxa"/>
            <w:right w:w="108" w:type="dxa"/>
          </w:tblCellMar>
        </w:tblPrEx>
        <w:trPr>
          <w:trHeight w:val="976" w:hRule="atLeast"/>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310</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07</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信息网络及软件购置更新</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r>
      <w:tr>
        <w:tblPrEx>
          <w:tblLayout w:type="fixed"/>
          <w:tblCellMar>
            <w:top w:w="0" w:type="dxa"/>
            <w:left w:w="108" w:type="dxa"/>
            <w:bottom w:w="0" w:type="dxa"/>
            <w:right w:w="108" w:type="dxa"/>
          </w:tblCellMar>
        </w:tblPrEx>
        <w:trPr>
          <w:trHeight w:val="738" w:hRule="atLeast"/>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310</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13</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公务用车购置</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310</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19</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其他交通工具购置</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r>
      <w:tr>
        <w:tblPrEx>
          <w:tblLayout w:type="fixed"/>
          <w:tblCellMar>
            <w:top w:w="0" w:type="dxa"/>
            <w:left w:w="108" w:type="dxa"/>
            <w:bottom w:w="0" w:type="dxa"/>
            <w:right w:w="108" w:type="dxa"/>
          </w:tblCellMar>
        </w:tblPrEx>
        <w:trPr>
          <w:jc w:val="center"/>
        </w:trPr>
        <w:tc>
          <w:tcPr>
            <w:tcW w:w="53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310</w:t>
            </w:r>
          </w:p>
        </w:tc>
        <w:tc>
          <w:tcPr>
            <w:tcW w:w="4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99</w:t>
            </w:r>
          </w:p>
        </w:tc>
        <w:tc>
          <w:tcPr>
            <w:tcW w:w="2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其他资本性支出</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p>
        </w:tc>
      </w:tr>
      <w:tr>
        <w:tblPrEx>
          <w:tblLayout w:type="fixed"/>
          <w:tblCellMar>
            <w:top w:w="0" w:type="dxa"/>
            <w:left w:w="108" w:type="dxa"/>
            <w:bottom w:w="0" w:type="dxa"/>
            <w:right w:w="108" w:type="dxa"/>
          </w:tblCellMar>
        </w:tblPrEx>
        <w:trPr>
          <w:jc w:val="center"/>
        </w:trPr>
        <w:tc>
          <w:tcPr>
            <w:tcW w:w="304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rPr>
                <w:rFonts w:asciiTheme="minorEastAsia" w:hAnsiTheme="minorEastAsia"/>
                <w:color w:val="000000"/>
                <w:szCs w:val="21"/>
              </w:rPr>
            </w:pPr>
            <w:r>
              <w:rPr>
                <w:rFonts w:hint="eastAsia" w:asciiTheme="minorEastAsia" w:hAnsiTheme="minorEastAsia"/>
                <w:color w:val="000000"/>
                <w:szCs w:val="21"/>
              </w:rPr>
              <w:t xml:space="preserve"> 合计</w:t>
            </w:r>
          </w:p>
        </w:tc>
        <w:tc>
          <w:tcPr>
            <w:tcW w:w="13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3,479.2     </w:t>
            </w:r>
          </w:p>
        </w:tc>
        <w:tc>
          <w:tcPr>
            <w:tcW w:w="203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3,017.69</w:t>
            </w:r>
          </w:p>
        </w:tc>
        <w:tc>
          <w:tcPr>
            <w:tcW w:w="201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rPr>
                <w:rFonts w:asciiTheme="minorEastAsia" w:hAnsiTheme="minorEastAsia"/>
                <w:color w:val="000000"/>
                <w:szCs w:val="21"/>
              </w:rPr>
            </w:pPr>
            <w:r>
              <w:rPr>
                <w:rFonts w:hint="eastAsia" w:asciiTheme="minorEastAsia" w:hAnsiTheme="minorEastAsia"/>
                <w:color w:val="000000"/>
                <w:szCs w:val="21"/>
              </w:rPr>
              <w:t xml:space="preserve"> 461.51 </w:t>
            </w:r>
          </w:p>
        </w:tc>
      </w:tr>
    </w:tbl>
    <w:p>
      <w:pPr>
        <w:spacing w:line="360" w:lineRule="auto"/>
        <w:ind w:left="0" w:firstLine="0"/>
        <w:jc w:val="left"/>
      </w:pPr>
    </w:p>
    <w:p>
      <w:pPr>
        <w:spacing w:line="360" w:lineRule="auto"/>
        <w:ind w:left="0" w:firstLine="0"/>
        <w:jc w:val="left"/>
      </w:pPr>
    </w:p>
    <w:p>
      <w:pPr>
        <w:spacing w:line="360" w:lineRule="auto"/>
        <w:ind w:left="0" w:firstLine="0"/>
        <w:jc w:val="center"/>
      </w:pPr>
      <w:r>
        <w:rPr>
          <w:rFonts w:hint="eastAsia" w:ascii="宋体" w:eastAsia="宋体" w:hAnsiTheme="minorEastAsia"/>
          <w:color w:val="000000"/>
        </w:rPr>
        <w:t xml:space="preserve"> 2017年度一般公共预算财政拨款“三公”经费及机关运行经费支出决算表</w:t>
      </w:r>
    </w:p>
    <w:p>
      <w:pPr>
        <w:spacing w:line="360" w:lineRule="auto"/>
        <w:ind w:left="0" w:firstLine="0"/>
        <w:jc w:val="right"/>
      </w:pPr>
      <w:r>
        <w:rPr>
          <w:rFonts w:hint="eastAsia" w:ascii="宋体" w:eastAsia="宋体" w:hAnsiTheme="minorEastAsia"/>
          <w:color w:val="000000"/>
        </w:rPr>
        <w:t xml:space="preserve"> 单位：万元</w:t>
      </w:r>
    </w:p>
    <w:tbl>
      <w:tblPr>
        <w:tblStyle w:val="20"/>
        <w:tblW w:w="8448" w:type="dxa"/>
        <w:jc w:val="center"/>
        <w:tblInd w:w="0" w:type="dxa"/>
        <w:tblLayout w:type="fixed"/>
        <w:tblCellMar>
          <w:top w:w="0" w:type="dxa"/>
          <w:left w:w="108" w:type="dxa"/>
          <w:bottom w:w="0" w:type="dxa"/>
          <w:right w:w="108" w:type="dxa"/>
        </w:tblCellMar>
      </w:tblPr>
      <w:tblGrid>
        <w:gridCol w:w="636"/>
        <w:gridCol w:w="741"/>
        <w:gridCol w:w="520"/>
        <w:gridCol w:w="741"/>
        <w:gridCol w:w="636"/>
        <w:gridCol w:w="741"/>
        <w:gridCol w:w="520"/>
        <w:gridCol w:w="525"/>
        <w:gridCol w:w="636"/>
        <w:gridCol w:w="741"/>
        <w:gridCol w:w="520"/>
        <w:gridCol w:w="645"/>
        <w:gridCol w:w="846"/>
      </w:tblGrid>
      <w:tr>
        <w:tblPrEx>
          <w:tblLayout w:type="fixed"/>
          <w:tblCellMar>
            <w:top w:w="0" w:type="dxa"/>
            <w:left w:w="108" w:type="dxa"/>
            <w:bottom w:w="0" w:type="dxa"/>
            <w:right w:w="108" w:type="dxa"/>
          </w:tblCellMar>
        </w:tblPrEx>
        <w:trPr>
          <w:trHeight w:val="385" w:hRule="atLeast"/>
          <w:jc w:val="center"/>
        </w:trPr>
        <w:tc>
          <w:tcPr>
            <w:tcW w:w="7602" w:type="dxa"/>
            <w:gridSpan w:val="1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pPr>
            <w:r>
              <w:rPr>
                <w:rFonts w:hint="eastAsia" w:ascii="宋体" w:eastAsia="宋体" w:hAnsiTheme="minorEastAsia"/>
                <w:color w:val="000000"/>
              </w:rPr>
              <w:t xml:space="preserve"> 一般公共预算财政拨款 “三公”经费</w:t>
            </w:r>
          </w:p>
        </w:tc>
        <w:tc>
          <w:tcPr>
            <w:tcW w:w="846"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pPr>
            <w:r>
              <w:rPr>
                <w:rFonts w:hint="eastAsia" w:ascii="宋体" w:eastAsia="宋体" w:hAnsiTheme="minorEastAsia"/>
                <w:color w:val="000000"/>
              </w:rPr>
              <w:t xml:space="preserve"> 机关运行经费决算数</w:t>
            </w:r>
          </w:p>
        </w:tc>
      </w:tr>
      <w:tr>
        <w:tblPrEx>
          <w:tblLayout w:type="fixed"/>
          <w:tblCellMar>
            <w:top w:w="0" w:type="dxa"/>
            <w:left w:w="108" w:type="dxa"/>
            <w:bottom w:w="0" w:type="dxa"/>
            <w:right w:w="108" w:type="dxa"/>
          </w:tblCellMar>
        </w:tblPrEx>
        <w:trPr>
          <w:trHeight w:val="385" w:hRule="atLeast"/>
          <w:jc w:val="center"/>
        </w:trPr>
        <w:tc>
          <w:tcPr>
            <w:tcW w:w="1377"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pPr>
            <w:r>
              <w:rPr>
                <w:rFonts w:hint="eastAsia" w:ascii="宋体" w:eastAsia="宋体" w:hAnsiTheme="minorEastAsia"/>
                <w:color w:val="000000"/>
              </w:rPr>
              <w:t xml:space="preserve"> 合计</w:t>
            </w:r>
          </w:p>
        </w:tc>
        <w:tc>
          <w:tcPr>
            <w:tcW w:w="1261"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pPr>
            <w:r>
              <w:rPr>
                <w:rFonts w:hint="eastAsia" w:ascii="宋体" w:eastAsia="宋体" w:hAnsiTheme="minorEastAsia"/>
                <w:color w:val="000000"/>
              </w:rPr>
              <w:t xml:space="preserve"> 因公出国(境)费</w:t>
            </w:r>
          </w:p>
        </w:tc>
        <w:tc>
          <w:tcPr>
            <w:tcW w:w="3799" w:type="dxa"/>
            <w:gridSpan w:val="6"/>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pPr>
            <w:r>
              <w:rPr>
                <w:rFonts w:hint="eastAsia" w:ascii="宋体" w:eastAsia="宋体" w:hAnsiTheme="minorEastAsia"/>
                <w:color w:val="000000"/>
              </w:rPr>
              <w:t xml:space="preserve"> 公务用车购置及运行费</w:t>
            </w:r>
          </w:p>
        </w:tc>
        <w:tc>
          <w:tcPr>
            <w:tcW w:w="1165"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pPr>
            <w:r>
              <w:rPr>
                <w:rFonts w:hint="eastAsia" w:ascii="宋体" w:eastAsia="宋体" w:hAnsiTheme="minorEastAsia"/>
                <w:color w:val="000000"/>
              </w:rPr>
              <w:t xml:space="preserve"> 公务接待费</w:t>
            </w:r>
          </w:p>
        </w:tc>
        <w:tc>
          <w:tcPr>
            <w:tcW w:w="84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pPr>
          </w:p>
        </w:tc>
      </w:tr>
      <w:tr>
        <w:tblPrEx>
          <w:tblLayout w:type="fixed"/>
          <w:tblCellMar>
            <w:top w:w="0" w:type="dxa"/>
            <w:left w:w="108" w:type="dxa"/>
            <w:bottom w:w="0" w:type="dxa"/>
            <w:right w:w="108" w:type="dxa"/>
          </w:tblCellMar>
        </w:tblPrEx>
        <w:trPr>
          <w:trHeight w:val="385" w:hRule="atLeast"/>
          <w:jc w:val="center"/>
        </w:trPr>
        <w:tc>
          <w:tcPr>
            <w:tcW w:w="1377" w:type="dxa"/>
            <w:gridSpan w:val="2"/>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pPr>
          </w:p>
        </w:tc>
        <w:tc>
          <w:tcPr>
            <w:tcW w:w="1261" w:type="dxa"/>
            <w:gridSpan w:val="2"/>
            <w:vMerge w:val="continue"/>
          </w:tcPr>
          <w:p>
            <w:pPr>
              <w:spacing w:line="360" w:lineRule="auto"/>
              <w:ind w:left="0" w:firstLine="0"/>
              <w:jc w:val="left"/>
            </w:pPr>
          </w:p>
        </w:tc>
        <w:tc>
          <w:tcPr>
            <w:tcW w:w="1377"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pPr>
            <w:r>
              <w:rPr>
                <w:rFonts w:hint="eastAsia" w:ascii="宋体" w:eastAsia="宋体" w:hAnsiTheme="minorEastAsia"/>
                <w:color w:val="000000"/>
              </w:rPr>
              <w:t xml:space="preserve"> 小计</w:t>
            </w:r>
          </w:p>
        </w:tc>
        <w:tc>
          <w:tcPr>
            <w:tcW w:w="1045"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pPr>
            <w:r>
              <w:rPr>
                <w:rFonts w:hint="eastAsia" w:ascii="宋体" w:eastAsia="宋体" w:hAnsiTheme="minorEastAsia"/>
                <w:color w:val="000000"/>
              </w:rPr>
              <w:t xml:space="preserve"> 公务用车购置费</w:t>
            </w:r>
          </w:p>
        </w:tc>
        <w:tc>
          <w:tcPr>
            <w:tcW w:w="1377"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pPr>
            <w:r>
              <w:rPr>
                <w:rFonts w:hint="eastAsia" w:ascii="宋体" w:eastAsia="宋体" w:hAnsiTheme="minorEastAsia"/>
                <w:color w:val="000000"/>
              </w:rPr>
              <w:t xml:space="preserve"> 公务用车运行费</w:t>
            </w:r>
          </w:p>
        </w:tc>
        <w:tc>
          <w:tcPr>
            <w:tcW w:w="1165" w:type="dxa"/>
            <w:gridSpan w:val="2"/>
            <w:vMerge w:val="continue"/>
          </w:tcPr>
          <w:p>
            <w:pPr>
              <w:spacing w:line="360" w:lineRule="auto"/>
              <w:ind w:left="0" w:firstLine="0"/>
              <w:jc w:val="left"/>
            </w:pPr>
          </w:p>
        </w:tc>
        <w:tc>
          <w:tcPr>
            <w:tcW w:w="84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pPr>
          </w:p>
        </w:tc>
      </w:tr>
      <w:tr>
        <w:tblPrEx>
          <w:tblLayout w:type="fixed"/>
          <w:tblCellMar>
            <w:top w:w="0" w:type="dxa"/>
            <w:left w:w="108" w:type="dxa"/>
            <w:bottom w:w="0" w:type="dxa"/>
            <w:right w:w="108" w:type="dxa"/>
          </w:tblCellMar>
        </w:tblPrEx>
        <w:trPr>
          <w:jc w:val="center"/>
        </w:trPr>
        <w:tc>
          <w:tcPr>
            <w:tcW w:w="6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pPr>
            <w:r>
              <w:rPr>
                <w:rFonts w:hint="eastAsia" w:ascii="宋体" w:eastAsia="宋体" w:hAnsiTheme="minorEastAsia"/>
                <w:color w:val="000000"/>
              </w:rPr>
              <w:t xml:space="preserve"> 预算数</w:t>
            </w:r>
          </w:p>
        </w:tc>
        <w:tc>
          <w:tcPr>
            <w:tcW w:w="7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pPr>
            <w:r>
              <w:rPr>
                <w:rFonts w:hint="eastAsia" w:ascii="宋体" w:eastAsia="宋体" w:hAnsiTheme="minorEastAsia"/>
                <w:color w:val="000000"/>
              </w:rPr>
              <w:t xml:space="preserve"> 决算数</w:t>
            </w:r>
          </w:p>
        </w:tc>
        <w:tc>
          <w:tcPr>
            <w:tcW w:w="5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pPr>
            <w:r>
              <w:rPr>
                <w:rFonts w:hint="eastAsia" w:ascii="宋体" w:eastAsia="宋体" w:hAnsiTheme="minorEastAsia"/>
                <w:color w:val="000000"/>
              </w:rPr>
              <w:t xml:space="preserve"> 预算数</w:t>
            </w:r>
          </w:p>
        </w:tc>
        <w:tc>
          <w:tcPr>
            <w:tcW w:w="7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pPr>
            <w:r>
              <w:rPr>
                <w:rFonts w:hint="eastAsia" w:ascii="宋体" w:eastAsia="宋体" w:hAnsiTheme="minorEastAsia"/>
                <w:color w:val="000000"/>
              </w:rPr>
              <w:t xml:space="preserve"> 决算数</w:t>
            </w:r>
          </w:p>
        </w:tc>
        <w:tc>
          <w:tcPr>
            <w:tcW w:w="6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pPr>
            <w:r>
              <w:rPr>
                <w:rFonts w:hint="eastAsia" w:ascii="宋体" w:eastAsia="宋体" w:hAnsiTheme="minorEastAsia"/>
                <w:color w:val="000000"/>
              </w:rPr>
              <w:t xml:space="preserve"> 预算数</w:t>
            </w:r>
          </w:p>
        </w:tc>
        <w:tc>
          <w:tcPr>
            <w:tcW w:w="7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pPr>
            <w:r>
              <w:rPr>
                <w:rFonts w:hint="eastAsia" w:ascii="宋体" w:eastAsia="宋体" w:hAnsiTheme="minorEastAsia"/>
                <w:color w:val="000000"/>
              </w:rPr>
              <w:t xml:space="preserve"> 决算数</w:t>
            </w:r>
          </w:p>
        </w:tc>
        <w:tc>
          <w:tcPr>
            <w:tcW w:w="5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pPr>
            <w:r>
              <w:rPr>
                <w:rFonts w:hint="eastAsia" w:ascii="宋体" w:eastAsia="宋体" w:hAnsiTheme="minorEastAsia"/>
                <w:color w:val="000000"/>
              </w:rPr>
              <w:t xml:space="preserve"> 预算数</w:t>
            </w:r>
          </w:p>
        </w:tc>
        <w:tc>
          <w:tcPr>
            <w:tcW w:w="5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pPr>
            <w:r>
              <w:rPr>
                <w:rFonts w:hint="eastAsia" w:ascii="宋体" w:eastAsia="宋体" w:hAnsiTheme="minorEastAsia"/>
                <w:color w:val="000000"/>
              </w:rPr>
              <w:t xml:space="preserve"> 决算数</w:t>
            </w:r>
          </w:p>
        </w:tc>
        <w:tc>
          <w:tcPr>
            <w:tcW w:w="6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pPr>
            <w:r>
              <w:rPr>
                <w:rFonts w:hint="eastAsia" w:ascii="宋体" w:eastAsia="宋体" w:hAnsiTheme="minorEastAsia"/>
                <w:color w:val="000000"/>
              </w:rPr>
              <w:t xml:space="preserve"> 预算数</w:t>
            </w:r>
          </w:p>
        </w:tc>
        <w:tc>
          <w:tcPr>
            <w:tcW w:w="7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pPr>
            <w:r>
              <w:rPr>
                <w:rFonts w:hint="eastAsia" w:ascii="宋体" w:eastAsia="宋体" w:hAnsiTheme="minorEastAsia"/>
                <w:color w:val="000000"/>
              </w:rPr>
              <w:t xml:space="preserve"> 决算数</w:t>
            </w:r>
          </w:p>
        </w:tc>
        <w:tc>
          <w:tcPr>
            <w:tcW w:w="5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pPr>
            <w:r>
              <w:rPr>
                <w:rFonts w:hint="eastAsia" w:ascii="宋体" w:eastAsia="宋体" w:hAnsiTheme="minorEastAsia"/>
                <w:color w:val="000000"/>
              </w:rPr>
              <w:t xml:space="preserve"> 预算数</w:t>
            </w: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center"/>
            </w:pPr>
            <w:r>
              <w:rPr>
                <w:rFonts w:hint="eastAsia" w:ascii="宋体" w:eastAsia="宋体" w:hAnsiTheme="minorEastAsia"/>
                <w:color w:val="000000"/>
              </w:rPr>
              <w:t xml:space="preserve"> 决算数</w:t>
            </w:r>
          </w:p>
        </w:tc>
        <w:tc>
          <w:tcPr>
            <w:tcW w:w="846"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pPr>
            <w:r>
              <w:rPr>
                <w:rFonts w:hint="eastAsia" w:ascii="宋体" w:eastAsia="宋体" w:hAnsiTheme="minorEastAsia"/>
                <w:color w:val="000000"/>
              </w:rPr>
              <w:t xml:space="preserve">   461.51</w:t>
            </w:r>
          </w:p>
        </w:tc>
      </w:tr>
      <w:tr>
        <w:tblPrEx>
          <w:tblLayout w:type="fixed"/>
          <w:tblCellMar>
            <w:top w:w="0" w:type="dxa"/>
            <w:left w:w="108" w:type="dxa"/>
            <w:bottom w:w="0" w:type="dxa"/>
            <w:right w:w="108" w:type="dxa"/>
          </w:tblCellMar>
        </w:tblPrEx>
        <w:trPr>
          <w:jc w:val="center"/>
        </w:trPr>
        <w:tc>
          <w:tcPr>
            <w:tcW w:w="6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pPr>
            <w:r>
              <w:rPr>
                <w:rFonts w:hint="eastAsia" w:ascii="宋体" w:eastAsia="宋体" w:hAnsiTheme="minorEastAsia"/>
                <w:color w:val="000000"/>
              </w:rPr>
              <w:t xml:space="preserve"> 81.5 </w:t>
            </w:r>
          </w:p>
        </w:tc>
        <w:tc>
          <w:tcPr>
            <w:tcW w:w="7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pPr>
            <w:r>
              <w:rPr>
                <w:rFonts w:hint="eastAsia" w:ascii="宋体" w:eastAsia="宋体" w:hAnsiTheme="minorEastAsia"/>
                <w:color w:val="000000"/>
              </w:rPr>
              <w:t xml:space="preserve"> 58.61 </w:t>
            </w:r>
          </w:p>
        </w:tc>
        <w:tc>
          <w:tcPr>
            <w:tcW w:w="5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pPr>
            <w:r>
              <w:rPr>
                <w:rFonts w:hint="eastAsia" w:ascii="宋体" w:eastAsia="宋体" w:hAnsiTheme="minorEastAsia"/>
                <w:color w:val="000000"/>
              </w:rPr>
              <w:t xml:space="preserve"> 41 </w:t>
            </w:r>
          </w:p>
        </w:tc>
        <w:tc>
          <w:tcPr>
            <w:tcW w:w="7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pPr>
            <w:r>
              <w:rPr>
                <w:rFonts w:hint="eastAsia" w:ascii="宋体" w:eastAsia="宋体" w:hAnsiTheme="minorEastAsia"/>
                <w:color w:val="000000"/>
              </w:rPr>
              <w:t xml:space="preserve"> 36.76 </w:t>
            </w:r>
          </w:p>
        </w:tc>
        <w:tc>
          <w:tcPr>
            <w:tcW w:w="6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pPr>
            <w:r>
              <w:rPr>
                <w:rFonts w:hint="eastAsia" w:ascii="宋体" w:eastAsia="宋体" w:hAnsiTheme="minorEastAsia"/>
                <w:color w:val="000000"/>
              </w:rPr>
              <w:t xml:space="preserve"> 31.5 </w:t>
            </w:r>
          </w:p>
        </w:tc>
        <w:tc>
          <w:tcPr>
            <w:tcW w:w="7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pPr>
            <w:r>
              <w:rPr>
                <w:rFonts w:hint="eastAsia" w:ascii="宋体" w:eastAsia="宋体" w:hAnsiTheme="minorEastAsia"/>
                <w:color w:val="000000"/>
              </w:rPr>
              <w:t xml:space="preserve"> 21.03 </w:t>
            </w:r>
          </w:p>
        </w:tc>
        <w:tc>
          <w:tcPr>
            <w:tcW w:w="5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pPr>
          </w:p>
        </w:tc>
        <w:tc>
          <w:tcPr>
            <w:tcW w:w="52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pPr>
          </w:p>
        </w:tc>
        <w:tc>
          <w:tcPr>
            <w:tcW w:w="6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pPr>
            <w:r>
              <w:rPr>
                <w:rFonts w:hint="eastAsia" w:ascii="宋体" w:eastAsia="宋体" w:hAnsiTheme="minorEastAsia"/>
                <w:color w:val="000000"/>
              </w:rPr>
              <w:t xml:space="preserve"> 31.5 </w:t>
            </w:r>
          </w:p>
        </w:tc>
        <w:tc>
          <w:tcPr>
            <w:tcW w:w="74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pPr>
            <w:r>
              <w:rPr>
                <w:rFonts w:hint="eastAsia" w:ascii="宋体" w:eastAsia="宋体" w:hAnsiTheme="minorEastAsia"/>
                <w:color w:val="000000"/>
              </w:rPr>
              <w:t xml:space="preserve"> 21.03 </w:t>
            </w:r>
          </w:p>
        </w:tc>
        <w:tc>
          <w:tcPr>
            <w:tcW w:w="5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pPr>
            <w:r>
              <w:rPr>
                <w:rFonts w:hint="eastAsia" w:ascii="宋体" w:eastAsia="宋体" w:hAnsiTheme="minorEastAsia"/>
                <w:color w:val="000000"/>
              </w:rPr>
              <w:t xml:space="preserve"> 9 </w:t>
            </w:r>
          </w:p>
        </w:tc>
        <w:tc>
          <w:tcPr>
            <w:tcW w:w="6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right"/>
            </w:pPr>
            <w:r>
              <w:rPr>
                <w:rFonts w:hint="eastAsia" w:ascii="宋体" w:eastAsia="宋体" w:hAnsiTheme="minorEastAsia"/>
                <w:color w:val="000000"/>
              </w:rPr>
              <w:t xml:space="preserve"> 0.82 </w:t>
            </w:r>
          </w:p>
        </w:tc>
        <w:tc>
          <w:tcPr>
            <w:tcW w:w="84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vAlign w:val="center"/>
          </w:tcPr>
          <w:p>
            <w:pPr>
              <w:spacing w:line="360" w:lineRule="auto"/>
              <w:ind w:left="0" w:firstLine="0"/>
              <w:jc w:val="left"/>
            </w:pPr>
          </w:p>
        </w:tc>
      </w:tr>
    </w:tbl>
    <w:p>
      <w:pPr>
        <w:spacing w:line="360" w:lineRule="auto"/>
        <w:ind w:left="0" w:firstLine="0"/>
        <w:jc w:val="left"/>
      </w:pPr>
    </w:p>
    <w:p>
      <w:pPr>
        <w:spacing w:line="360" w:lineRule="auto"/>
        <w:ind w:left="0" w:firstLine="0"/>
        <w:jc w:val="left"/>
      </w:pPr>
    </w:p>
    <w:p>
      <w:pPr>
        <w:autoSpaceDE w:val="0"/>
        <w:autoSpaceDN w:val="0"/>
        <w:adjustRightInd w:val="0"/>
        <w:spacing w:line="360" w:lineRule="auto"/>
        <w:jc w:val="center"/>
        <w:outlineLvl w:val="0"/>
        <w:rPr>
          <w:rFonts w:ascii="宋体" w:hAnsi="宋体"/>
          <w:szCs w:val="21"/>
        </w:rPr>
      </w:pPr>
      <w:r>
        <w:rPr>
          <w:rFonts w:hint="eastAsia" w:ascii="宋体" w:hAnsi="宋体"/>
          <w:szCs w:val="21"/>
        </w:rPr>
        <w:t>2017年度政府性基金预算财政拨款支出决算表</w:t>
      </w:r>
    </w:p>
    <w:p>
      <w:pPr>
        <w:autoSpaceDE w:val="0"/>
        <w:autoSpaceDN w:val="0"/>
        <w:adjustRightInd w:val="0"/>
        <w:spacing w:line="360" w:lineRule="auto"/>
        <w:ind w:right="360"/>
        <w:jc w:val="right"/>
        <w:rPr>
          <w:rFonts w:ascii="宋体" w:hAnsi="宋体"/>
          <w:szCs w:val="21"/>
        </w:rPr>
      </w:pPr>
      <w:r>
        <w:rPr>
          <w:rFonts w:hint="eastAsia" w:ascii="宋体" w:hAnsi="宋体"/>
          <w:szCs w:val="21"/>
        </w:rPr>
        <w:t>单位：万元</w:t>
      </w:r>
    </w:p>
    <w:tbl>
      <w:tblPr>
        <w:tblStyle w:val="20"/>
        <w:tblW w:w="7998" w:type="dxa"/>
        <w:jc w:val="center"/>
        <w:tblInd w:w="-313" w:type="dxa"/>
        <w:tblLayout w:type="fixed"/>
        <w:tblCellMar>
          <w:top w:w="0" w:type="dxa"/>
          <w:left w:w="108" w:type="dxa"/>
          <w:bottom w:w="0" w:type="dxa"/>
          <w:right w:w="108" w:type="dxa"/>
        </w:tblCellMar>
      </w:tblPr>
      <w:tblGrid>
        <w:gridCol w:w="552"/>
        <w:gridCol w:w="567"/>
        <w:gridCol w:w="524"/>
        <w:gridCol w:w="1800"/>
        <w:gridCol w:w="1620"/>
        <w:gridCol w:w="1440"/>
        <w:gridCol w:w="1495"/>
      </w:tblGrid>
      <w:tr>
        <w:tblPrEx>
          <w:tblLayout w:type="fixed"/>
          <w:tblCellMar>
            <w:top w:w="0" w:type="dxa"/>
            <w:left w:w="108" w:type="dxa"/>
            <w:bottom w:w="0" w:type="dxa"/>
            <w:right w:w="108" w:type="dxa"/>
          </w:tblCellMar>
        </w:tblPrEx>
        <w:trPr>
          <w:trHeight w:val="480" w:hRule="atLeast"/>
          <w:jc w:val="center"/>
        </w:trPr>
        <w:tc>
          <w:tcPr>
            <w:tcW w:w="3443"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项目</w:t>
            </w:r>
          </w:p>
        </w:tc>
        <w:tc>
          <w:tcPr>
            <w:tcW w:w="1620" w:type="dxa"/>
            <w:vMerge w:val="restart"/>
            <w:tcBorders>
              <w:top w:val="single" w:color="auto" w:sz="4" w:space="0"/>
              <w:left w:val="nil"/>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合计</w:t>
            </w:r>
          </w:p>
        </w:tc>
        <w:tc>
          <w:tcPr>
            <w:tcW w:w="1440" w:type="dxa"/>
            <w:vMerge w:val="restart"/>
            <w:tcBorders>
              <w:top w:val="single" w:color="auto" w:sz="4" w:space="0"/>
              <w:left w:val="nil"/>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基本支出</w:t>
            </w:r>
          </w:p>
        </w:tc>
        <w:tc>
          <w:tcPr>
            <w:tcW w:w="1495" w:type="dxa"/>
            <w:vMerge w:val="restart"/>
            <w:tcBorders>
              <w:top w:val="single" w:color="auto" w:sz="4" w:space="0"/>
              <w:left w:val="nil"/>
              <w:right w:val="single" w:color="auto" w:sz="4" w:space="0"/>
            </w:tcBorders>
            <w:vAlign w:val="center"/>
          </w:tcPr>
          <w:p>
            <w:pPr>
              <w:spacing w:line="360" w:lineRule="auto"/>
              <w:jc w:val="center"/>
              <w:rPr>
                <w:rFonts w:asciiTheme="minorEastAsia" w:hAnsiTheme="minorEastAsia"/>
                <w:szCs w:val="21"/>
              </w:rPr>
            </w:pPr>
            <w:r>
              <w:rPr>
                <w:rFonts w:hint="eastAsia" w:asciiTheme="minorEastAsia" w:hAnsiTheme="minorEastAsia"/>
                <w:szCs w:val="21"/>
              </w:rPr>
              <w:t>项目支出</w:t>
            </w:r>
          </w:p>
        </w:tc>
      </w:tr>
      <w:tr>
        <w:tblPrEx>
          <w:tblLayout w:type="fixed"/>
          <w:tblCellMar>
            <w:top w:w="0" w:type="dxa"/>
            <w:left w:w="108" w:type="dxa"/>
            <w:bottom w:w="0" w:type="dxa"/>
            <w:right w:w="108" w:type="dxa"/>
          </w:tblCellMar>
        </w:tblPrEx>
        <w:trPr>
          <w:trHeight w:val="480" w:hRule="atLeast"/>
          <w:jc w:val="center"/>
        </w:trPr>
        <w:tc>
          <w:tcPr>
            <w:tcW w:w="164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功能分类</w:t>
            </w:r>
          </w:p>
          <w:p>
            <w:pPr>
              <w:widowControl/>
              <w:spacing w:line="360" w:lineRule="auto"/>
              <w:jc w:val="center"/>
              <w:rPr>
                <w:rFonts w:asciiTheme="minorEastAsia" w:hAnsiTheme="minorEastAsia"/>
                <w:szCs w:val="21"/>
              </w:rPr>
            </w:pPr>
            <w:r>
              <w:rPr>
                <w:rFonts w:hint="eastAsia" w:asciiTheme="minorEastAsia" w:hAnsiTheme="minorEastAsia"/>
                <w:szCs w:val="21"/>
              </w:rPr>
              <w:t>科目编码</w:t>
            </w:r>
          </w:p>
        </w:tc>
        <w:tc>
          <w:tcPr>
            <w:tcW w:w="1800" w:type="dxa"/>
            <w:vMerge w:val="restart"/>
            <w:tcBorders>
              <w:top w:val="nil"/>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科目名称</w:t>
            </w:r>
          </w:p>
        </w:tc>
        <w:tc>
          <w:tcPr>
            <w:tcW w:w="1620" w:type="dxa"/>
            <w:vMerge w:val="continue"/>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p>
        </w:tc>
        <w:tc>
          <w:tcPr>
            <w:tcW w:w="1440" w:type="dxa"/>
            <w:vMerge w:val="continue"/>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p>
        </w:tc>
        <w:tc>
          <w:tcPr>
            <w:tcW w:w="1495" w:type="dxa"/>
            <w:vMerge w:val="continue"/>
            <w:tcBorders>
              <w:left w:val="single" w:color="auto" w:sz="4" w:space="0"/>
              <w:right w:val="single" w:color="auto" w:sz="4" w:space="0"/>
            </w:tcBorders>
            <w:vAlign w:val="center"/>
          </w:tcPr>
          <w:p>
            <w:pPr>
              <w:widowControl/>
              <w:spacing w:line="360" w:lineRule="auto"/>
              <w:jc w:val="center"/>
              <w:rPr>
                <w:rFonts w:asciiTheme="minorEastAsia" w:hAnsiTheme="minorEastAsia"/>
                <w:szCs w:val="21"/>
              </w:rPr>
            </w:pPr>
          </w:p>
        </w:tc>
      </w:tr>
      <w:tr>
        <w:tblPrEx>
          <w:tblLayout w:type="fixed"/>
          <w:tblCellMar>
            <w:top w:w="0" w:type="dxa"/>
            <w:left w:w="108" w:type="dxa"/>
            <w:bottom w:w="0" w:type="dxa"/>
            <w:right w:w="108" w:type="dxa"/>
          </w:tblCellMar>
        </w:tblPrEx>
        <w:trPr>
          <w:trHeight w:val="480" w:hRule="atLeast"/>
          <w:jc w:val="center"/>
        </w:trPr>
        <w:tc>
          <w:tcPr>
            <w:tcW w:w="55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类</w:t>
            </w:r>
          </w:p>
        </w:tc>
        <w:tc>
          <w:tcPr>
            <w:tcW w:w="567" w:type="dxa"/>
            <w:tcBorders>
              <w:top w:val="nil"/>
              <w:left w:val="nil"/>
              <w:bottom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款</w:t>
            </w:r>
          </w:p>
        </w:tc>
        <w:tc>
          <w:tcPr>
            <w:tcW w:w="524" w:type="dxa"/>
            <w:tcBorders>
              <w:top w:val="nil"/>
              <w:left w:val="nil"/>
              <w:bottom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项</w:t>
            </w:r>
          </w:p>
        </w:tc>
        <w:tc>
          <w:tcPr>
            <w:tcW w:w="1800" w:type="dxa"/>
            <w:vMerge w:val="continue"/>
            <w:tcBorders>
              <w:top w:val="nil"/>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szCs w:val="21"/>
              </w:rPr>
            </w:pPr>
          </w:p>
        </w:tc>
        <w:tc>
          <w:tcPr>
            <w:tcW w:w="1620" w:type="dxa"/>
            <w:vMerge w:val="continue"/>
            <w:tcBorders>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szCs w:val="21"/>
              </w:rPr>
            </w:pPr>
          </w:p>
        </w:tc>
        <w:tc>
          <w:tcPr>
            <w:tcW w:w="1440" w:type="dxa"/>
            <w:vMerge w:val="continue"/>
            <w:tcBorders>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szCs w:val="21"/>
              </w:rPr>
            </w:pPr>
          </w:p>
        </w:tc>
        <w:tc>
          <w:tcPr>
            <w:tcW w:w="1495" w:type="dxa"/>
            <w:vMerge w:val="continue"/>
            <w:tcBorders>
              <w:left w:val="single" w:color="auto" w:sz="4" w:space="0"/>
              <w:bottom w:val="single" w:color="auto" w:sz="4" w:space="0"/>
              <w:right w:val="single" w:color="auto" w:sz="4" w:space="0"/>
            </w:tcBorders>
            <w:vAlign w:val="center"/>
          </w:tcPr>
          <w:p>
            <w:pPr>
              <w:widowControl/>
              <w:spacing w:line="360" w:lineRule="auto"/>
              <w:rPr>
                <w:rFonts w:asciiTheme="minorEastAsia" w:hAnsiTheme="minorEastAsia"/>
                <w:szCs w:val="21"/>
              </w:rPr>
            </w:pPr>
          </w:p>
        </w:tc>
      </w:tr>
      <w:tr>
        <w:tblPrEx>
          <w:tblLayout w:type="fixed"/>
          <w:tblCellMar>
            <w:top w:w="0" w:type="dxa"/>
            <w:left w:w="108" w:type="dxa"/>
            <w:bottom w:w="0" w:type="dxa"/>
            <w:right w:w="108" w:type="dxa"/>
          </w:tblCellMar>
        </w:tblPrEx>
        <w:trPr>
          <w:trHeight w:val="480" w:hRule="atLeast"/>
          <w:jc w:val="center"/>
        </w:trPr>
        <w:tc>
          <w:tcPr>
            <w:tcW w:w="552" w:type="dxa"/>
            <w:tcBorders>
              <w:top w:val="nil"/>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szCs w:val="21"/>
              </w:rPr>
            </w:pPr>
            <w:r>
              <w:rPr>
                <w:rFonts w:hint="eastAsia" w:asciiTheme="minorEastAsia" w:hAnsiTheme="minorEastAsia"/>
                <w:szCs w:val="21"/>
              </w:rPr>
              <w:t>229</w:t>
            </w:r>
          </w:p>
        </w:tc>
        <w:tc>
          <w:tcPr>
            <w:tcW w:w="567" w:type="dxa"/>
            <w:tcBorders>
              <w:top w:val="nil"/>
              <w:left w:val="nil"/>
              <w:bottom w:val="single" w:color="auto" w:sz="4" w:space="0"/>
              <w:right w:val="single" w:color="auto" w:sz="4" w:space="0"/>
            </w:tcBorders>
            <w:vAlign w:val="center"/>
          </w:tcPr>
          <w:p>
            <w:pPr>
              <w:spacing w:line="360" w:lineRule="auto"/>
              <w:jc w:val="center"/>
              <w:rPr>
                <w:rFonts w:cs="宋体" w:asciiTheme="minorEastAsia" w:hAnsiTheme="minorEastAsia"/>
                <w:szCs w:val="21"/>
              </w:rPr>
            </w:pPr>
            <w:r>
              <w:rPr>
                <w:rFonts w:hint="eastAsia" w:asciiTheme="minorEastAsia" w:hAnsiTheme="minorEastAsia"/>
                <w:szCs w:val="21"/>
              </w:rPr>
              <w:t>　</w:t>
            </w:r>
          </w:p>
        </w:tc>
        <w:tc>
          <w:tcPr>
            <w:tcW w:w="524" w:type="dxa"/>
            <w:tcBorders>
              <w:top w:val="nil"/>
              <w:left w:val="nil"/>
              <w:bottom w:val="single" w:color="auto" w:sz="4" w:space="0"/>
              <w:right w:val="single" w:color="auto" w:sz="4" w:space="0"/>
            </w:tcBorders>
            <w:vAlign w:val="center"/>
          </w:tcPr>
          <w:p>
            <w:pPr>
              <w:spacing w:line="360" w:lineRule="auto"/>
              <w:jc w:val="center"/>
              <w:rPr>
                <w:rFonts w:cs="宋体" w:asciiTheme="minorEastAsia" w:hAnsiTheme="minorEastAsia"/>
                <w:szCs w:val="21"/>
              </w:rPr>
            </w:pPr>
            <w:r>
              <w:rPr>
                <w:rFonts w:hint="eastAsia" w:asciiTheme="minorEastAsia" w:hAnsiTheme="minorEastAsia"/>
                <w:szCs w:val="21"/>
              </w:rPr>
              <w:t>　</w:t>
            </w:r>
          </w:p>
        </w:tc>
        <w:tc>
          <w:tcPr>
            <w:tcW w:w="1800"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szCs w:val="21"/>
              </w:rPr>
            </w:pPr>
            <w:r>
              <w:rPr>
                <w:rFonts w:hint="eastAsia" w:asciiTheme="minorEastAsia" w:hAnsiTheme="minorEastAsia"/>
                <w:szCs w:val="21"/>
              </w:rPr>
              <w:t>其他支出</w:t>
            </w:r>
          </w:p>
        </w:tc>
        <w:tc>
          <w:tcPr>
            <w:tcW w:w="1620"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szCs w:val="21"/>
              </w:rPr>
            </w:pPr>
          </w:p>
        </w:tc>
        <w:tc>
          <w:tcPr>
            <w:tcW w:w="1440"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szCs w:val="21"/>
              </w:rPr>
            </w:pPr>
          </w:p>
        </w:tc>
        <w:tc>
          <w:tcPr>
            <w:tcW w:w="1495"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szCs w:val="21"/>
              </w:rPr>
            </w:pPr>
          </w:p>
        </w:tc>
      </w:tr>
      <w:tr>
        <w:tblPrEx>
          <w:tblLayout w:type="fixed"/>
          <w:tblCellMar>
            <w:top w:w="0" w:type="dxa"/>
            <w:left w:w="108" w:type="dxa"/>
            <w:bottom w:w="0" w:type="dxa"/>
            <w:right w:w="108" w:type="dxa"/>
          </w:tblCellMar>
        </w:tblPrEx>
        <w:trPr>
          <w:trHeight w:val="480" w:hRule="atLeast"/>
          <w:jc w:val="center"/>
        </w:trPr>
        <w:tc>
          <w:tcPr>
            <w:tcW w:w="552" w:type="dxa"/>
            <w:tcBorders>
              <w:top w:val="nil"/>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szCs w:val="21"/>
              </w:rPr>
            </w:pPr>
            <w:r>
              <w:rPr>
                <w:rFonts w:hint="eastAsia" w:asciiTheme="minorEastAsia" w:hAnsiTheme="minorEastAsia"/>
                <w:szCs w:val="21"/>
              </w:rPr>
              <w:t>229</w:t>
            </w:r>
          </w:p>
        </w:tc>
        <w:tc>
          <w:tcPr>
            <w:tcW w:w="567" w:type="dxa"/>
            <w:tcBorders>
              <w:top w:val="nil"/>
              <w:left w:val="nil"/>
              <w:bottom w:val="single" w:color="auto" w:sz="4" w:space="0"/>
              <w:right w:val="single" w:color="auto" w:sz="4" w:space="0"/>
            </w:tcBorders>
            <w:vAlign w:val="center"/>
          </w:tcPr>
          <w:p>
            <w:pPr>
              <w:spacing w:line="360" w:lineRule="auto"/>
              <w:jc w:val="center"/>
              <w:rPr>
                <w:rFonts w:cs="宋体" w:asciiTheme="minorEastAsia" w:hAnsiTheme="minorEastAsia"/>
                <w:szCs w:val="21"/>
              </w:rPr>
            </w:pPr>
            <w:r>
              <w:rPr>
                <w:rFonts w:hint="eastAsia" w:asciiTheme="minorEastAsia" w:hAnsiTheme="minorEastAsia"/>
                <w:szCs w:val="21"/>
              </w:rPr>
              <w:t>08</w:t>
            </w:r>
          </w:p>
        </w:tc>
        <w:tc>
          <w:tcPr>
            <w:tcW w:w="524" w:type="dxa"/>
            <w:tcBorders>
              <w:top w:val="nil"/>
              <w:left w:val="nil"/>
              <w:bottom w:val="single" w:color="auto" w:sz="4" w:space="0"/>
              <w:right w:val="single" w:color="auto" w:sz="4" w:space="0"/>
            </w:tcBorders>
            <w:vAlign w:val="center"/>
          </w:tcPr>
          <w:p>
            <w:pPr>
              <w:spacing w:line="360" w:lineRule="auto"/>
              <w:jc w:val="center"/>
              <w:rPr>
                <w:rFonts w:cs="宋体" w:asciiTheme="minorEastAsia" w:hAnsiTheme="minorEastAsia"/>
                <w:szCs w:val="21"/>
              </w:rPr>
            </w:pPr>
            <w:r>
              <w:rPr>
                <w:rFonts w:hint="eastAsia" w:asciiTheme="minorEastAsia" w:hAnsiTheme="minorEastAsia"/>
                <w:szCs w:val="21"/>
              </w:rPr>
              <w:t>　</w:t>
            </w:r>
          </w:p>
        </w:tc>
        <w:tc>
          <w:tcPr>
            <w:tcW w:w="1800"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szCs w:val="21"/>
              </w:rPr>
            </w:pPr>
            <w:r>
              <w:rPr>
                <w:rFonts w:hint="eastAsia" w:asciiTheme="minorEastAsia" w:hAnsiTheme="minorEastAsia"/>
                <w:szCs w:val="21"/>
              </w:rPr>
              <w:t>彩票发行销售机构业务费安排的支出</w:t>
            </w:r>
          </w:p>
        </w:tc>
        <w:tc>
          <w:tcPr>
            <w:tcW w:w="1620"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szCs w:val="21"/>
              </w:rPr>
            </w:pPr>
          </w:p>
        </w:tc>
        <w:tc>
          <w:tcPr>
            <w:tcW w:w="1440"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szCs w:val="21"/>
              </w:rPr>
            </w:pPr>
          </w:p>
        </w:tc>
        <w:tc>
          <w:tcPr>
            <w:tcW w:w="1495"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szCs w:val="21"/>
              </w:rPr>
            </w:pPr>
          </w:p>
        </w:tc>
      </w:tr>
      <w:tr>
        <w:tblPrEx>
          <w:tblLayout w:type="fixed"/>
        </w:tblPrEx>
        <w:trPr>
          <w:trHeight w:val="480" w:hRule="atLeast"/>
          <w:jc w:val="center"/>
        </w:trPr>
        <w:tc>
          <w:tcPr>
            <w:tcW w:w="552" w:type="dxa"/>
            <w:tcBorders>
              <w:top w:val="nil"/>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szCs w:val="21"/>
              </w:rPr>
            </w:pPr>
            <w:r>
              <w:rPr>
                <w:rFonts w:hint="eastAsia" w:asciiTheme="minorEastAsia" w:hAnsiTheme="minorEastAsia"/>
                <w:szCs w:val="21"/>
              </w:rPr>
              <w:t>229</w:t>
            </w:r>
          </w:p>
        </w:tc>
        <w:tc>
          <w:tcPr>
            <w:tcW w:w="567" w:type="dxa"/>
            <w:tcBorders>
              <w:top w:val="nil"/>
              <w:left w:val="nil"/>
              <w:bottom w:val="single" w:color="auto" w:sz="4" w:space="0"/>
              <w:right w:val="single" w:color="auto" w:sz="4" w:space="0"/>
            </w:tcBorders>
            <w:vAlign w:val="center"/>
          </w:tcPr>
          <w:p>
            <w:pPr>
              <w:spacing w:line="360" w:lineRule="auto"/>
              <w:jc w:val="center"/>
              <w:rPr>
                <w:rFonts w:cs="宋体" w:asciiTheme="minorEastAsia" w:hAnsiTheme="minorEastAsia"/>
                <w:szCs w:val="21"/>
              </w:rPr>
            </w:pPr>
            <w:r>
              <w:rPr>
                <w:rFonts w:hint="eastAsia" w:asciiTheme="minorEastAsia" w:hAnsiTheme="minorEastAsia"/>
                <w:szCs w:val="21"/>
              </w:rPr>
              <w:t>08</w:t>
            </w:r>
          </w:p>
        </w:tc>
        <w:tc>
          <w:tcPr>
            <w:tcW w:w="524" w:type="dxa"/>
            <w:tcBorders>
              <w:top w:val="nil"/>
              <w:left w:val="nil"/>
              <w:bottom w:val="single" w:color="auto" w:sz="4" w:space="0"/>
              <w:right w:val="single" w:color="auto" w:sz="4" w:space="0"/>
            </w:tcBorders>
            <w:vAlign w:val="center"/>
          </w:tcPr>
          <w:p>
            <w:pPr>
              <w:spacing w:line="360" w:lineRule="auto"/>
              <w:jc w:val="center"/>
              <w:rPr>
                <w:rFonts w:cs="宋体" w:asciiTheme="minorEastAsia" w:hAnsiTheme="minorEastAsia"/>
                <w:szCs w:val="21"/>
              </w:rPr>
            </w:pPr>
            <w:r>
              <w:rPr>
                <w:rFonts w:hint="eastAsia" w:asciiTheme="minorEastAsia" w:hAnsiTheme="minorEastAsia"/>
                <w:szCs w:val="21"/>
              </w:rPr>
              <w:t>04</w:t>
            </w:r>
          </w:p>
        </w:tc>
        <w:tc>
          <w:tcPr>
            <w:tcW w:w="1800"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szCs w:val="21"/>
              </w:rPr>
            </w:pPr>
            <w:r>
              <w:rPr>
                <w:rFonts w:hint="eastAsia" w:asciiTheme="minorEastAsia" w:hAnsiTheme="minorEastAsia"/>
                <w:szCs w:val="21"/>
              </w:rPr>
              <w:t>福利彩票销售机构的业务费支出</w:t>
            </w:r>
          </w:p>
        </w:tc>
        <w:tc>
          <w:tcPr>
            <w:tcW w:w="1620"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szCs w:val="21"/>
              </w:rPr>
            </w:pPr>
          </w:p>
        </w:tc>
        <w:tc>
          <w:tcPr>
            <w:tcW w:w="1440"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szCs w:val="21"/>
              </w:rPr>
            </w:pPr>
          </w:p>
        </w:tc>
        <w:tc>
          <w:tcPr>
            <w:tcW w:w="1495"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szCs w:val="21"/>
              </w:rPr>
            </w:pPr>
          </w:p>
        </w:tc>
      </w:tr>
      <w:tr>
        <w:tblPrEx>
          <w:tblLayout w:type="fixed"/>
          <w:tblCellMar>
            <w:top w:w="0" w:type="dxa"/>
            <w:left w:w="108" w:type="dxa"/>
            <w:bottom w:w="0" w:type="dxa"/>
            <w:right w:w="108" w:type="dxa"/>
          </w:tblCellMar>
        </w:tblPrEx>
        <w:trPr>
          <w:trHeight w:val="480" w:hRule="atLeast"/>
          <w:jc w:val="center"/>
        </w:trPr>
        <w:tc>
          <w:tcPr>
            <w:tcW w:w="552" w:type="dxa"/>
            <w:tcBorders>
              <w:top w:val="nil"/>
              <w:left w:val="single" w:color="auto" w:sz="4" w:space="0"/>
              <w:bottom w:val="single" w:color="auto" w:sz="4" w:space="0"/>
              <w:right w:val="single" w:color="auto" w:sz="4" w:space="0"/>
            </w:tcBorders>
            <w:vAlign w:val="center"/>
          </w:tcPr>
          <w:p>
            <w:pPr>
              <w:spacing w:line="360" w:lineRule="auto"/>
              <w:jc w:val="center"/>
              <w:rPr>
                <w:rFonts w:cs="宋体" w:asciiTheme="minorEastAsia" w:hAnsiTheme="minorEastAsia"/>
                <w:szCs w:val="21"/>
              </w:rPr>
            </w:pPr>
            <w:r>
              <w:rPr>
                <w:rFonts w:hint="eastAsia" w:asciiTheme="minorEastAsia" w:hAnsiTheme="minorEastAsia"/>
                <w:szCs w:val="21"/>
              </w:rPr>
              <w:t>…</w:t>
            </w:r>
          </w:p>
        </w:tc>
        <w:tc>
          <w:tcPr>
            <w:tcW w:w="567" w:type="dxa"/>
            <w:tcBorders>
              <w:top w:val="nil"/>
              <w:left w:val="nil"/>
              <w:bottom w:val="single" w:color="auto" w:sz="4" w:space="0"/>
              <w:right w:val="single" w:color="auto" w:sz="4" w:space="0"/>
            </w:tcBorders>
            <w:vAlign w:val="center"/>
          </w:tcPr>
          <w:p>
            <w:pPr>
              <w:spacing w:line="360" w:lineRule="auto"/>
              <w:jc w:val="center"/>
              <w:rPr>
                <w:rFonts w:cs="宋体" w:asciiTheme="minorEastAsia" w:hAnsiTheme="minorEastAsia"/>
                <w:szCs w:val="21"/>
              </w:rPr>
            </w:pPr>
            <w:r>
              <w:rPr>
                <w:rFonts w:hint="eastAsia" w:asciiTheme="minorEastAsia" w:hAnsiTheme="minorEastAsia"/>
                <w:szCs w:val="21"/>
              </w:rPr>
              <w:t>…</w:t>
            </w:r>
          </w:p>
        </w:tc>
        <w:tc>
          <w:tcPr>
            <w:tcW w:w="524" w:type="dxa"/>
            <w:tcBorders>
              <w:top w:val="nil"/>
              <w:left w:val="nil"/>
              <w:bottom w:val="single" w:color="auto" w:sz="4" w:space="0"/>
              <w:right w:val="single" w:color="auto" w:sz="4" w:space="0"/>
            </w:tcBorders>
            <w:vAlign w:val="center"/>
          </w:tcPr>
          <w:p>
            <w:pPr>
              <w:spacing w:line="360" w:lineRule="auto"/>
              <w:jc w:val="center"/>
              <w:rPr>
                <w:rFonts w:cs="宋体" w:asciiTheme="minorEastAsia" w:hAnsiTheme="minorEastAsia"/>
                <w:szCs w:val="21"/>
              </w:rPr>
            </w:pPr>
            <w:r>
              <w:rPr>
                <w:rFonts w:hint="eastAsia" w:asciiTheme="minorEastAsia" w:hAnsiTheme="minorEastAsia"/>
                <w:szCs w:val="21"/>
              </w:rPr>
              <w:t>…</w:t>
            </w:r>
          </w:p>
        </w:tc>
        <w:tc>
          <w:tcPr>
            <w:tcW w:w="1800" w:type="dxa"/>
            <w:tcBorders>
              <w:top w:val="nil"/>
              <w:left w:val="nil"/>
              <w:bottom w:val="single" w:color="auto" w:sz="4" w:space="0"/>
              <w:right w:val="single" w:color="auto" w:sz="4" w:space="0"/>
            </w:tcBorders>
            <w:vAlign w:val="center"/>
          </w:tcPr>
          <w:p>
            <w:pPr>
              <w:spacing w:line="360" w:lineRule="auto"/>
              <w:rPr>
                <w:rFonts w:cs="宋体" w:asciiTheme="minorEastAsia" w:hAnsiTheme="minorEastAsia"/>
                <w:szCs w:val="21"/>
              </w:rPr>
            </w:pPr>
            <w:r>
              <w:rPr>
                <w:rFonts w:hint="eastAsia" w:asciiTheme="minorEastAsia" w:hAnsiTheme="minorEastAsia"/>
                <w:szCs w:val="21"/>
              </w:rPr>
              <w:t>…</w:t>
            </w:r>
          </w:p>
        </w:tc>
        <w:tc>
          <w:tcPr>
            <w:tcW w:w="1620"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szCs w:val="21"/>
              </w:rPr>
            </w:pPr>
          </w:p>
        </w:tc>
        <w:tc>
          <w:tcPr>
            <w:tcW w:w="1440"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szCs w:val="21"/>
              </w:rPr>
            </w:pPr>
          </w:p>
        </w:tc>
        <w:tc>
          <w:tcPr>
            <w:tcW w:w="1495" w:type="dxa"/>
            <w:tcBorders>
              <w:top w:val="nil"/>
              <w:left w:val="nil"/>
              <w:bottom w:val="single" w:color="auto" w:sz="4" w:space="0"/>
              <w:right w:val="single" w:color="auto" w:sz="4" w:space="0"/>
            </w:tcBorders>
            <w:vAlign w:val="center"/>
          </w:tcPr>
          <w:p>
            <w:pPr>
              <w:widowControl/>
              <w:spacing w:line="360" w:lineRule="auto"/>
              <w:rPr>
                <w:rFonts w:asciiTheme="minorEastAsia" w:hAnsiTheme="minorEastAsia"/>
                <w:szCs w:val="21"/>
              </w:rPr>
            </w:pPr>
          </w:p>
        </w:tc>
      </w:tr>
      <w:tr>
        <w:tblPrEx>
          <w:tblLayout w:type="fixed"/>
          <w:tblCellMar>
            <w:top w:w="0" w:type="dxa"/>
            <w:left w:w="108" w:type="dxa"/>
            <w:bottom w:w="0" w:type="dxa"/>
            <w:right w:w="108" w:type="dxa"/>
          </w:tblCellMar>
        </w:tblPrEx>
        <w:trPr>
          <w:trHeight w:val="480" w:hRule="atLeast"/>
          <w:jc w:val="center"/>
        </w:trPr>
        <w:tc>
          <w:tcPr>
            <w:tcW w:w="3443" w:type="dxa"/>
            <w:gridSpan w:val="4"/>
            <w:tcBorders>
              <w:top w:val="single" w:color="auto" w:sz="4" w:space="0"/>
              <w:left w:val="single" w:color="auto" w:sz="4" w:space="0"/>
              <w:bottom w:val="single" w:color="auto" w:sz="4" w:space="0"/>
              <w:right w:val="single" w:color="000000" w:sz="4" w:space="0"/>
            </w:tcBorders>
            <w:vAlign w:val="center"/>
          </w:tcPr>
          <w:p>
            <w:pPr>
              <w:widowControl/>
              <w:spacing w:line="360" w:lineRule="auto"/>
              <w:jc w:val="center"/>
              <w:rPr>
                <w:rFonts w:cs="宋体" w:asciiTheme="minorEastAsia" w:hAnsiTheme="minorEastAsia"/>
                <w:kern w:val="0"/>
                <w:szCs w:val="21"/>
              </w:rPr>
            </w:pPr>
            <w:r>
              <w:rPr>
                <w:rFonts w:hint="eastAsia" w:cs="宋体" w:asciiTheme="minorEastAsia" w:hAnsiTheme="minorEastAsia"/>
                <w:kern w:val="0"/>
                <w:szCs w:val="21"/>
              </w:rPr>
              <w:t>合计</w:t>
            </w:r>
          </w:p>
        </w:tc>
        <w:tc>
          <w:tcPr>
            <w:tcW w:w="1620" w:type="dxa"/>
            <w:tcBorders>
              <w:top w:val="nil"/>
              <w:left w:val="nil"/>
              <w:bottom w:val="single" w:color="auto" w:sz="4" w:space="0"/>
              <w:right w:val="single" w:color="auto" w:sz="4" w:space="0"/>
            </w:tcBorders>
            <w:vAlign w:val="center"/>
          </w:tcPr>
          <w:p>
            <w:pPr>
              <w:widowControl/>
              <w:spacing w:line="360" w:lineRule="auto"/>
              <w:rPr>
                <w:rFonts w:cs="宋体" w:asciiTheme="minorEastAsia" w:hAnsiTheme="minorEastAsia"/>
                <w:kern w:val="0"/>
                <w:szCs w:val="21"/>
              </w:rPr>
            </w:pPr>
          </w:p>
        </w:tc>
        <w:tc>
          <w:tcPr>
            <w:tcW w:w="1440" w:type="dxa"/>
            <w:tcBorders>
              <w:top w:val="nil"/>
              <w:left w:val="nil"/>
              <w:bottom w:val="single" w:color="auto" w:sz="4" w:space="0"/>
              <w:right w:val="single" w:color="auto" w:sz="4" w:space="0"/>
            </w:tcBorders>
            <w:vAlign w:val="center"/>
          </w:tcPr>
          <w:p>
            <w:pPr>
              <w:widowControl/>
              <w:spacing w:line="360" w:lineRule="auto"/>
              <w:rPr>
                <w:rFonts w:cs="宋体" w:asciiTheme="minorEastAsia" w:hAnsiTheme="minorEastAsia"/>
                <w:kern w:val="0"/>
                <w:szCs w:val="21"/>
              </w:rPr>
            </w:pPr>
          </w:p>
        </w:tc>
        <w:tc>
          <w:tcPr>
            <w:tcW w:w="1495" w:type="dxa"/>
            <w:tcBorders>
              <w:top w:val="nil"/>
              <w:left w:val="nil"/>
              <w:bottom w:val="single" w:color="auto" w:sz="4" w:space="0"/>
              <w:right w:val="single" w:color="auto" w:sz="4" w:space="0"/>
            </w:tcBorders>
            <w:vAlign w:val="center"/>
          </w:tcPr>
          <w:p>
            <w:pPr>
              <w:widowControl/>
              <w:spacing w:line="360" w:lineRule="auto"/>
              <w:rPr>
                <w:rFonts w:cs="宋体" w:asciiTheme="minorEastAsia" w:hAnsiTheme="minorEastAsia"/>
                <w:kern w:val="0"/>
                <w:szCs w:val="21"/>
              </w:rPr>
            </w:pPr>
          </w:p>
        </w:tc>
      </w:tr>
    </w:tbl>
    <w:p>
      <w:pPr>
        <w:spacing w:line="360" w:lineRule="auto"/>
        <w:ind w:left="0" w:firstLine="0"/>
        <w:jc w:val="left"/>
        <w:rPr>
          <w:rFonts w:hint="eastAsia" w:ascii="宋体" w:hAnsi="宋体" w:eastAsia="宋体"/>
          <w:color w:val="000000"/>
        </w:rPr>
      </w:pPr>
      <w:r>
        <w:rPr>
          <w:rFonts w:hint="eastAsia" w:ascii="宋体" w:hAnsi="宋体" w:eastAsia="宋体"/>
          <w:color w:val="000000"/>
        </w:rPr>
        <w:t>注：</w:t>
      </w:r>
      <w:r>
        <w:rPr>
          <w:rFonts w:hint="eastAsia" w:ascii="宋体" w:hAnsi="宋体" w:eastAsia="宋体"/>
          <w:color w:val="000000"/>
          <w:sz w:val="30"/>
        </w:rPr>
        <w:t xml:space="preserve"> </w:t>
      </w:r>
      <w:r>
        <w:rPr>
          <w:rFonts w:hint="eastAsia" w:ascii="宋体" w:hAnsi="宋体" w:eastAsia="宋体"/>
          <w:color w:val="000000"/>
        </w:rPr>
        <w:t>中共上海市委党校第五分校（上海市经济管理干部学院</w:t>
      </w:r>
      <w:r>
        <w:rPr>
          <w:rFonts w:hint="eastAsia" w:ascii="宋体" w:hAnsi="宋体" w:eastAsia="宋体"/>
          <w:color w:val="000000"/>
          <w:sz w:val="30"/>
        </w:rPr>
        <w:t>）</w:t>
      </w:r>
      <w:r>
        <w:rPr>
          <w:rFonts w:hint="eastAsia" w:ascii="宋体" w:hAnsi="宋体" w:eastAsia="宋体"/>
          <w:color w:val="000000"/>
        </w:rPr>
        <w:t xml:space="preserve"> 2017年度无政府性基金预算财政拨款支出，故本表无数据。</w:t>
      </w:r>
    </w:p>
    <w:p>
      <w:pPr>
        <w:spacing w:line="360" w:lineRule="auto"/>
        <w:ind w:left="0" w:firstLine="0"/>
        <w:jc w:val="left"/>
        <w:rPr>
          <w:rFonts w:hint="eastAsia" w:ascii="宋体" w:hAnsi="宋体" w:eastAsia="宋体"/>
          <w:color w:val="000000"/>
        </w:rPr>
      </w:pPr>
    </w:p>
    <w:p>
      <w:pPr>
        <w:spacing w:line="360" w:lineRule="auto"/>
        <w:ind w:left="0" w:firstLine="0"/>
        <w:jc w:val="left"/>
        <w:rPr>
          <w:rFonts w:hint="eastAsia" w:ascii="宋体" w:hAnsi="宋体" w:eastAsia="宋体"/>
          <w:color w:val="000000"/>
        </w:rPr>
      </w:pPr>
    </w:p>
    <w:p>
      <w:pPr>
        <w:spacing w:line="360" w:lineRule="auto"/>
        <w:ind w:left="0" w:firstLine="0"/>
        <w:jc w:val="left"/>
        <w:rPr>
          <w:rFonts w:hint="eastAsia" w:ascii="宋体" w:hAnsi="宋体" w:eastAsia="宋体"/>
          <w:color w:val="000000"/>
        </w:rPr>
      </w:pPr>
    </w:p>
    <w:p>
      <w:pPr>
        <w:spacing w:line="360" w:lineRule="auto"/>
        <w:ind w:left="0" w:firstLine="0"/>
        <w:jc w:val="left"/>
        <w:rPr>
          <w:rFonts w:hint="eastAsia" w:ascii="宋体" w:hAnsi="宋体" w:eastAsia="宋体"/>
          <w:color w:val="000000"/>
        </w:rPr>
      </w:pPr>
    </w:p>
    <w:p>
      <w:pPr>
        <w:spacing w:line="360" w:lineRule="auto"/>
        <w:ind w:left="0" w:firstLine="0"/>
        <w:jc w:val="left"/>
        <w:rPr>
          <w:rFonts w:hint="eastAsia" w:ascii="宋体" w:hAnsi="宋体" w:eastAsia="宋体"/>
          <w:color w:val="000000"/>
        </w:rPr>
      </w:pPr>
    </w:p>
    <w:p>
      <w:pPr>
        <w:spacing w:line="360" w:lineRule="auto"/>
        <w:ind w:left="0" w:firstLine="0"/>
        <w:jc w:val="left"/>
        <w:rPr>
          <w:rFonts w:hint="eastAsia" w:ascii="宋体" w:hAnsi="宋体" w:eastAsia="宋体"/>
          <w:color w:val="000000"/>
        </w:rPr>
      </w:pPr>
    </w:p>
    <w:p>
      <w:pPr>
        <w:spacing w:line="360" w:lineRule="auto"/>
        <w:ind w:left="0" w:firstLine="0"/>
        <w:jc w:val="left"/>
        <w:rPr>
          <w:rFonts w:hint="eastAsia" w:ascii="宋体" w:hAnsi="宋体" w:eastAsia="宋体"/>
          <w:color w:val="000000"/>
        </w:rPr>
      </w:pPr>
    </w:p>
    <w:p>
      <w:pPr>
        <w:spacing w:line="360" w:lineRule="auto"/>
        <w:ind w:left="0" w:firstLine="0"/>
        <w:jc w:val="left"/>
        <w:rPr>
          <w:rFonts w:hint="eastAsia" w:ascii="宋体" w:hAnsi="宋体" w:eastAsia="宋体"/>
          <w:color w:val="000000"/>
        </w:rPr>
      </w:pPr>
    </w:p>
    <w:p>
      <w:pPr>
        <w:spacing w:line="360" w:lineRule="auto"/>
        <w:ind w:left="0" w:firstLine="0"/>
        <w:jc w:val="left"/>
        <w:rPr>
          <w:rFonts w:hint="eastAsia" w:ascii="宋体" w:hAnsi="宋体" w:eastAsia="宋体"/>
          <w:color w:val="000000"/>
        </w:rPr>
      </w:pPr>
    </w:p>
    <w:p>
      <w:pPr>
        <w:spacing w:line="360" w:lineRule="auto"/>
        <w:ind w:left="0" w:firstLine="0"/>
        <w:jc w:val="left"/>
        <w:rPr>
          <w:rFonts w:hint="eastAsia" w:ascii="宋体" w:hAnsi="宋体" w:eastAsia="宋体"/>
          <w:color w:val="000000"/>
        </w:rPr>
      </w:pPr>
    </w:p>
    <w:p>
      <w:pPr>
        <w:spacing w:line="360" w:lineRule="auto"/>
        <w:ind w:left="0" w:firstLine="0"/>
        <w:jc w:val="left"/>
        <w:rPr>
          <w:rFonts w:hint="eastAsia" w:ascii="宋体" w:hAnsi="宋体" w:eastAsia="宋体"/>
          <w:color w:val="000000"/>
        </w:rPr>
      </w:pPr>
    </w:p>
    <w:p>
      <w:pPr>
        <w:spacing w:line="360" w:lineRule="auto"/>
        <w:ind w:left="0" w:firstLine="0"/>
        <w:jc w:val="left"/>
        <w:rPr>
          <w:rFonts w:hint="eastAsia" w:ascii="宋体" w:hAnsi="宋体" w:eastAsia="宋体"/>
          <w:color w:val="000000"/>
        </w:rPr>
      </w:pPr>
    </w:p>
    <w:p>
      <w:pPr>
        <w:spacing w:line="360" w:lineRule="auto"/>
      </w:pPr>
      <w:r>
        <w:rPr>
          <w:rFonts w:hint="eastAsia" w:ascii="黑体" w:eastAsia="黑体" w:hAnsiTheme="minorEastAsia"/>
          <w:color w:val="000000"/>
          <w:sz w:val="30"/>
        </w:rPr>
        <w:t xml:space="preserve"> 第三部分  中共上海市委党校第五分校（上海市经济管理干部学院）2017年度部门决算情况说明</w:t>
      </w:r>
    </w:p>
    <w:p>
      <w:pPr>
        <w:spacing w:line="360" w:lineRule="auto"/>
        <w:ind w:left="0" w:firstLine="0"/>
        <w:jc w:val="center"/>
      </w:pPr>
    </w:p>
    <w:p>
      <w:pPr>
        <w:spacing w:line="360" w:lineRule="auto"/>
        <w:ind w:left="0" w:firstLine="602" w:firstLineChars="200"/>
        <w:jc w:val="left"/>
        <w:rPr>
          <w:rFonts w:ascii="楷体" w:hAnsi="楷体" w:eastAsia="楷体"/>
        </w:rPr>
      </w:pPr>
      <w:r>
        <w:rPr>
          <w:rFonts w:hint="eastAsia" w:ascii="楷体" w:hAnsi="楷体" w:eastAsia="楷体"/>
          <w:b/>
          <w:color w:val="000000"/>
          <w:sz w:val="30"/>
        </w:rPr>
        <w:t xml:space="preserve"> 一、关于中共上海市委党校第五分校（上海市经济管理干部学院） 2017年度收入支出总体情况说明</w:t>
      </w:r>
    </w:p>
    <w:p>
      <w:pPr>
        <w:spacing w:line="360" w:lineRule="auto"/>
        <w:ind w:left="0" w:firstLine="600" w:firstLineChars="200"/>
        <w:jc w:val="left"/>
      </w:pPr>
      <w:r>
        <w:rPr>
          <w:rFonts w:hint="eastAsia" w:ascii="仿宋_GB2312" w:eastAsia="仿宋_GB2312" w:hAnsiTheme="minorEastAsia"/>
          <w:color w:val="000000"/>
          <w:sz w:val="30"/>
        </w:rPr>
        <w:t xml:space="preserve"> 中共上海市委党校第五分校（上海市经济管理干部学院） 2017年度收入总计为 万元、支出总计为</w:t>
      </w:r>
      <w:r>
        <w:rPr>
          <w:rFonts w:hint="eastAsia" w:ascii="仿宋_GB2312" w:eastAsia="仿宋_GB2312" w:hAnsiTheme="minorEastAsia"/>
          <w:color w:val="000000"/>
          <w:sz w:val="27"/>
        </w:rPr>
        <w:t>9739.12</w:t>
      </w:r>
      <w:r>
        <w:rPr>
          <w:rFonts w:hint="eastAsia" w:ascii="仿宋_GB2312" w:eastAsia="仿宋_GB2312" w:hAnsiTheme="minorEastAsia"/>
          <w:color w:val="000000"/>
          <w:sz w:val="30"/>
        </w:rPr>
        <w:t xml:space="preserve"> 万元。与2016年度相比，收入、支出总计各减少833.08万元。主要原因：教学设施与学员宿舍维修项目延期支付。</w:t>
      </w:r>
    </w:p>
    <w:p>
      <w:pPr>
        <w:spacing w:line="360" w:lineRule="auto"/>
        <w:ind w:left="0" w:firstLine="602" w:firstLineChars="200"/>
        <w:jc w:val="left"/>
      </w:pPr>
      <w:r>
        <w:rPr>
          <w:rFonts w:hint="eastAsia" w:ascii="楷体" w:hAnsi="楷体" w:eastAsia="楷体"/>
          <w:b/>
          <w:color w:val="000000"/>
          <w:sz w:val="30"/>
        </w:rPr>
        <w:t xml:space="preserve"> 二、关于 中共上海市委党校第五分校（上海市经济管理干部学院） 2017年度收入决算情况说明</w:t>
      </w:r>
    </w:p>
    <w:p>
      <w:pPr>
        <w:spacing w:line="360" w:lineRule="auto"/>
        <w:ind w:left="0" w:firstLine="600" w:firstLineChars="200"/>
        <w:jc w:val="left"/>
      </w:pPr>
      <w:r>
        <w:rPr>
          <w:rFonts w:hint="eastAsia" w:ascii="仿宋_GB2312" w:eastAsia="仿宋_GB2312" w:hAnsiTheme="minorEastAsia"/>
          <w:color w:val="000000"/>
          <w:sz w:val="30"/>
        </w:rPr>
        <w:t xml:space="preserve"> 本年收入合计</w:t>
      </w:r>
      <w:r>
        <w:rPr>
          <w:rFonts w:hint="eastAsia" w:ascii="仿宋_GB2312" w:eastAsia="仿宋_GB2312" w:hAnsiTheme="minorEastAsia"/>
          <w:color w:val="000000"/>
          <w:sz w:val="27"/>
        </w:rPr>
        <w:t xml:space="preserve"> 9,505.73</w:t>
      </w:r>
      <w:r>
        <w:rPr>
          <w:rFonts w:hint="eastAsia" w:ascii="仿宋_GB2312" w:eastAsia="仿宋_GB2312" w:hAnsiTheme="minorEastAsia"/>
          <w:color w:val="000000"/>
          <w:sz w:val="30"/>
        </w:rPr>
        <w:t xml:space="preserve"> 万元，其中：财政拨款收入</w:t>
      </w:r>
      <w:r>
        <w:rPr>
          <w:rFonts w:hint="eastAsia" w:ascii="仿宋_GB2312" w:eastAsia="仿宋_GB2312" w:hAnsiTheme="minorEastAsia"/>
          <w:color w:val="000000"/>
          <w:sz w:val="27"/>
        </w:rPr>
        <w:t xml:space="preserve"> 7,158.57</w:t>
      </w:r>
      <w:r>
        <w:rPr>
          <w:rFonts w:hint="eastAsia" w:ascii="仿宋_GB2312" w:eastAsia="仿宋_GB2312" w:hAnsiTheme="minorEastAsia"/>
          <w:color w:val="000000"/>
          <w:sz w:val="30"/>
        </w:rPr>
        <w:t xml:space="preserve"> 万元，占75.31%；事业收入</w:t>
      </w:r>
      <w:r>
        <w:rPr>
          <w:rFonts w:hint="eastAsia" w:ascii="仿宋_GB2312" w:eastAsia="仿宋_GB2312" w:hAnsiTheme="minorEastAsia"/>
          <w:color w:val="000000"/>
          <w:sz w:val="27"/>
        </w:rPr>
        <w:t xml:space="preserve"> 2,319.26</w:t>
      </w:r>
      <w:r>
        <w:rPr>
          <w:rFonts w:hint="eastAsia" w:ascii="仿宋_GB2312" w:eastAsia="仿宋_GB2312" w:hAnsiTheme="minorEastAsia"/>
          <w:color w:val="000000"/>
          <w:sz w:val="30"/>
        </w:rPr>
        <w:t xml:space="preserve"> 万元，占24.40%；其他收入 27.90万元，占0.29%。</w:t>
      </w:r>
    </w:p>
    <w:p>
      <w:pPr>
        <w:spacing w:line="360" w:lineRule="auto"/>
        <w:ind w:left="0" w:firstLine="602" w:firstLineChars="200"/>
        <w:jc w:val="left"/>
      </w:pPr>
      <w:r>
        <w:rPr>
          <w:rFonts w:hint="eastAsia" w:ascii="楷体_GB2312" w:eastAsia="楷体_GB2312" w:hAnsiTheme="minorEastAsia"/>
          <w:b/>
          <w:color w:val="000000"/>
          <w:sz w:val="30"/>
        </w:rPr>
        <w:t xml:space="preserve"> </w:t>
      </w:r>
      <w:r>
        <w:rPr>
          <w:rFonts w:hint="eastAsia" w:ascii="楷体" w:hAnsi="楷体" w:eastAsia="楷体"/>
          <w:b/>
          <w:color w:val="000000"/>
          <w:sz w:val="30"/>
        </w:rPr>
        <w:t>三、关于 中共上海市委党校第五分校（上海市经济管理干部学院） 2017年度支出决算情况说明</w:t>
      </w:r>
    </w:p>
    <w:p>
      <w:pPr>
        <w:spacing w:line="360" w:lineRule="auto"/>
        <w:ind w:left="0" w:firstLine="600" w:firstLineChars="200"/>
        <w:jc w:val="left"/>
      </w:pPr>
      <w:r>
        <w:rPr>
          <w:rFonts w:hint="eastAsia" w:ascii="仿宋_GB2312" w:eastAsia="仿宋_GB2312" w:hAnsiTheme="minorEastAsia"/>
          <w:color w:val="000000"/>
          <w:sz w:val="30"/>
        </w:rPr>
        <w:t xml:space="preserve"> 本年支出合计</w:t>
      </w:r>
      <w:r>
        <w:rPr>
          <w:rFonts w:hint="eastAsia" w:ascii="仿宋_GB2312" w:eastAsia="仿宋_GB2312" w:hAnsiTheme="minorEastAsia"/>
          <w:color w:val="000000"/>
          <w:sz w:val="27"/>
        </w:rPr>
        <w:t>9677.46</w:t>
      </w:r>
      <w:r>
        <w:rPr>
          <w:rFonts w:hint="eastAsia" w:ascii="仿宋_GB2312" w:eastAsia="仿宋_GB2312" w:hAnsiTheme="minorEastAsia"/>
          <w:color w:val="000000"/>
          <w:sz w:val="30"/>
        </w:rPr>
        <w:t xml:space="preserve"> 万元，其中：基本支出3479.20万元，占35.95%；项目支出6198.26万元，占64.05%。</w:t>
      </w:r>
    </w:p>
    <w:p>
      <w:pPr>
        <w:spacing w:line="360" w:lineRule="auto"/>
        <w:ind w:left="0" w:firstLine="602" w:firstLineChars="200"/>
        <w:jc w:val="left"/>
      </w:pPr>
      <w:r>
        <w:rPr>
          <w:rFonts w:hint="eastAsia" w:ascii="楷体_GB2312" w:eastAsia="楷体_GB2312" w:hAnsiTheme="minorEastAsia"/>
          <w:b/>
          <w:color w:val="000000"/>
          <w:sz w:val="30"/>
        </w:rPr>
        <w:t xml:space="preserve"> </w:t>
      </w:r>
      <w:r>
        <w:rPr>
          <w:rFonts w:hint="eastAsia" w:ascii="楷体" w:hAnsi="楷体" w:eastAsia="楷体"/>
          <w:b/>
          <w:color w:val="000000"/>
          <w:sz w:val="30"/>
        </w:rPr>
        <w:t>四、关于 中共上海市委党校第五分校（上海市经济管理干部学院） 2017年度财政拨款收入支出总体情况说明</w:t>
      </w:r>
    </w:p>
    <w:p>
      <w:pPr>
        <w:spacing w:line="360" w:lineRule="auto"/>
        <w:ind w:left="0" w:firstLine="600" w:firstLineChars="200"/>
        <w:jc w:val="left"/>
      </w:pPr>
      <w:r>
        <w:rPr>
          <w:rFonts w:hint="eastAsia" w:ascii="宋体" w:eastAsia="宋体" w:hAnsiTheme="minorEastAsia"/>
          <w:color w:val="000000"/>
          <w:sz w:val="30"/>
        </w:rPr>
        <w:t xml:space="preserve"> </w:t>
      </w:r>
      <w:r>
        <w:rPr>
          <w:rFonts w:hint="eastAsia" w:ascii="仿宋_GB2312" w:eastAsia="仿宋_GB2312" w:hAnsiTheme="minorEastAsia"/>
          <w:color w:val="000000"/>
          <w:sz w:val="30"/>
        </w:rPr>
        <w:t>中共上海市委党校第五分校（上海市经济管理干部学院） 2017 年度财政拨款收支总决算7158.57万元。与2016年度相比，财政拨款收、支总计各增加399.44万元，增长5.91%。主要原因：2017年本单位有2016年延期支付教学设施与学员宿舍维修项目。</w:t>
      </w:r>
    </w:p>
    <w:p>
      <w:pPr>
        <w:spacing w:line="360" w:lineRule="auto"/>
        <w:ind w:left="0" w:firstLine="602" w:firstLineChars="200"/>
        <w:jc w:val="left"/>
      </w:pPr>
      <w:r>
        <w:rPr>
          <w:rFonts w:hint="eastAsia" w:ascii="楷体_GB2312" w:eastAsia="楷体_GB2312" w:hAnsiTheme="minorEastAsia"/>
          <w:b/>
          <w:color w:val="000000"/>
          <w:sz w:val="30"/>
        </w:rPr>
        <w:t xml:space="preserve"> </w:t>
      </w:r>
      <w:r>
        <w:rPr>
          <w:rFonts w:hint="eastAsia" w:ascii="楷体" w:hAnsi="楷体" w:eastAsia="楷体"/>
          <w:b/>
          <w:color w:val="000000"/>
          <w:sz w:val="30"/>
        </w:rPr>
        <w:t>五、关于 中共上海市委党校第五分校（上海市经济管理干部学院） 2017年度一般公共预算财政拨款支出决算情况说明</w:t>
      </w:r>
    </w:p>
    <w:p>
      <w:pPr>
        <w:spacing w:line="360" w:lineRule="auto"/>
        <w:ind w:left="0" w:firstLine="602" w:firstLineChars="200"/>
        <w:jc w:val="left"/>
      </w:pPr>
      <w:r>
        <w:rPr>
          <w:rFonts w:hint="eastAsia" w:ascii="楷体_GB2312" w:eastAsia="楷体_GB2312" w:hAnsiTheme="minorEastAsia"/>
          <w:b/>
          <w:color w:val="000000"/>
          <w:sz w:val="30"/>
        </w:rPr>
        <w:t xml:space="preserve"> （一）一般公共预算财政拨款支出总体情况。</w:t>
      </w:r>
    </w:p>
    <w:p>
      <w:pPr>
        <w:spacing w:line="360" w:lineRule="auto"/>
        <w:ind w:left="0" w:firstLine="600" w:firstLineChars="200"/>
        <w:jc w:val="left"/>
      </w:pPr>
      <w:r>
        <w:rPr>
          <w:rFonts w:hint="eastAsia" w:ascii="宋体" w:eastAsia="宋体" w:hAnsiTheme="minorEastAsia"/>
          <w:color w:val="000000"/>
          <w:sz w:val="30"/>
        </w:rPr>
        <w:t xml:space="preserve"> </w:t>
      </w:r>
      <w:r>
        <w:rPr>
          <w:rFonts w:hint="eastAsia" w:ascii="仿宋_GB2312" w:eastAsia="仿宋_GB2312" w:hAnsiTheme="minorEastAsia"/>
          <w:color w:val="000000"/>
          <w:sz w:val="30"/>
        </w:rPr>
        <w:t>中共上海市委党校第五分校（上海市经济管理干部学院） 2017 年度一般公共预算财政拨款支出7158.57万元，占本年支出合计的73.97%。与2016年度相比，一般公共预算财政拨款支出增加399.44万元，增长5.91%。主要原因：2017年本单位有2016年延期支付教学设施与学员宿舍维修项目。</w:t>
      </w:r>
    </w:p>
    <w:p>
      <w:pPr>
        <w:spacing w:line="360" w:lineRule="auto"/>
        <w:ind w:left="0" w:firstLine="600" w:firstLineChars="200"/>
        <w:jc w:val="left"/>
      </w:pPr>
      <w:r>
        <w:rPr>
          <w:rFonts w:hint="eastAsia" w:ascii="仿宋_GB2312" w:eastAsia="仿宋_GB2312" w:hAnsiTheme="minorEastAsia"/>
          <w:color w:val="000000"/>
          <w:sz w:val="30"/>
        </w:rPr>
        <w:t>。</w:t>
      </w:r>
    </w:p>
    <w:p>
      <w:pPr>
        <w:spacing w:line="360" w:lineRule="auto"/>
        <w:ind w:left="0" w:firstLine="602" w:firstLineChars="200"/>
        <w:jc w:val="left"/>
      </w:pPr>
      <w:r>
        <w:rPr>
          <w:rFonts w:hint="eastAsia" w:ascii="楷体_GB2312" w:eastAsia="楷体_GB2312" w:hAnsiTheme="minorEastAsia"/>
          <w:b/>
          <w:color w:val="000000"/>
          <w:sz w:val="30"/>
        </w:rPr>
        <w:t xml:space="preserve"> （二）一般公共预算财政拨款支出决算结构情况。</w:t>
      </w:r>
    </w:p>
    <w:p>
      <w:pPr>
        <w:spacing w:line="360" w:lineRule="auto"/>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 xml:space="preserve"> 2017年度一般公共预算财政拨款支出7158.57万元，主要用于以下方面：主要用于以下方面：教育支出（类）6158.60万元，占86.03%；社会保障和就业（类）447.77万元，占6.26%；医疗卫生与计划生育支出（类）208.87万元，占2.91%；住房保障支出（类）343.33万元，占4.80%。</w:t>
      </w:r>
    </w:p>
    <w:p>
      <w:pPr>
        <w:spacing w:line="360" w:lineRule="auto"/>
        <w:ind w:left="0" w:firstLine="602" w:firstLineChars="200"/>
        <w:jc w:val="left"/>
      </w:pPr>
      <w:r>
        <w:rPr>
          <w:rFonts w:hint="eastAsia" w:ascii="楷体_GB2312" w:eastAsia="楷体_GB2312" w:hAnsiTheme="minorEastAsia"/>
          <w:b/>
          <w:color w:val="000000"/>
          <w:sz w:val="30"/>
        </w:rPr>
        <w:t xml:space="preserve"> （三）一般公共预算财政拨款支出决算具体情况。</w:t>
      </w:r>
    </w:p>
    <w:p>
      <w:pPr>
        <w:spacing w:line="360" w:lineRule="auto"/>
        <w:ind w:left="0" w:firstLine="600" w:firstLineChars="200"/>
        <w:jc w:val="left"/>
        <w:rPr>
          <w:rFonts w:ascii="仿宋_GB2312" w:eastAsia="仿宋_GB2312" w:hAnsiTheme="minorEastAsia"/>
          <w:color w:val="000000"/>
          <w:sz w:val="30"/>
        </w:rPr>
      </w:pPr>
      <w:r>
        <w:rPr>
          <w:rFonts w:hint="eastAsia" w:ascii="宋体" w:eastAsia="宋体" w:hAnsiTheme="minorEastAsia"/>
          <w:color w:val="000000"/>
          <w:sz w:val="30"/>
        </w:rPr>
        <w:t xml:space="preserve"> </w:t>
      </w:r>
      <w:r>
        <w:rPr>
          <w:rFonts w:hint="eastAsia" w:ascii="仿宋_GB2312" w:eastAsia="仿宋_GB2312" w:hAnsiTheme="minorEastAsia"/>
          <w:color w:val="000000"/>
          <w:sz w:val="30"/>
        </w:rPr>
        <w:t>中共上海市委党校第五分校（上海市经济管理干部学院） 2017 年度一般公共预算财政拨款支出年初预算为7131.92万元，支出决算为7158.57万元，完成年初预算的100.37%。决算数大于预算数的主要原因：事业人员的绩效工资标准水平提高。其中：</w:t>
      </w:r>
    </w:p>
    <w:p>
      <w:pPr>
        <w:spacing w:line="360" w:lineRule="auto"/>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 xml:space="preserve"> 1、教育支出（类）教育事务管理（款）行政运行（项）1475.47万元。主要用于：教职工工资福利及机关运行费。年初预算为,1694.83万元，支出决算为1475.47万元，完成年初预算的87.06%。决算数小于预算数的主要原因：三公经费的开支减少、临时工人员减少。</w:t>
      </w:r>
    </w:p>
    <w:p>
      <w:pPr>
        <w:spacing w:line="360" w:lineRule="auto"/>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 xml:space="preserve"> 2、教育支出（类）进修及培训（款）干部教育（项）4683.14万元。主要用于：教学经费、校园运行维护、科研经费、办刊经费、综合校务管理系统、教学设施与学员宿舍维修项目、抚恤金及教学设备购置。年初预算为4328.79万元，支出决算为4683.14万元，完成年初预算的108.18%。决算数大于预算数的主要原因：2017年本单位有2016年延期支付教学设施与学员宿舍维修项目。</w:t>
      </w:r>
    </w:p>
    <w:p>
      <w:pPr>
        <w:spacing w:line="360" w:lineRule="auto"/>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 xml:space="preserve">   3、社会保障和就业支出（类）行政事业单位离退休（款）归口管理的行政单位离退休（项）142.28万元。主要用于离休人员的补贴发放。年初预算为149.58万元,支出决算为142.28万元，完成预算95.12%。决算数小于预算数的主要原因：离休职工减少。</w:t>
      </w:r>
    </w:p>
    <w:p>
      <w:pPr>
        <w:spacing w:line="360" w:lineRule="auto"/>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4、社会保障和就业支出（类）行政事业单位离退休（款）机关事业单位基本养老保险支出（项</w:t>
      </w:r>
      <w:r>
        <w:rPr>
          <w:rFonts w:ascii="仿宋_GB2312" w:eastAsia="仿宋_GB2312" w:hAnsiTheme="minorEastAsia"/>
          <w:color w:val="000000"/>
          <w:sz w:val="30"/>
        </w:rPr>
        <w:t>）</w:t>
      </w:r>
      <w:r>
        <w:rPr>
          <w:rFonts w:hint="eastAsia" w:ascii="仿宋_GB2312" w:eastAsia="仿宋_GB2312" w:hAnsiTheme="minorEastAsia"/>
          <w:color w:val="000000"/>
          <w:sz w:val="30"/>
        </w:rPr>
        <w:t>291.53万元。主要用于缴纳职工的基本养老保险。年初预算为337.45万元，支出决算为291.53万元，完成预算86.39%决算数小于预算数的主要原因：职工人数减少。</w:t>
      </w:r>
    </w:p>
    <w:p>
      <w:pPr>
        <w:spacing w:line="360" w:lineRule="auto"/>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5、社会保障和就业支出（类）行政事业单位离退休（款）其他行政事业单位离退休支出（项）13.96万元。主要用于单位退休人员的活动开支。年初预算为13.96万元，支出决算为13.96万元，完成预算100%</w:t>
      </w:r>
    </w:p>
    <w:p>
      <w:pPr>
        <w:spacing w:line="360" w:lineRule="auto"/>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6、医疗卫生与计划生育支出（类）医疗保障（款）行政单位医疗（项）69.48万元。主要用于缴纳行政人员的医疗保险费。年初预算为85.77万元，支出决算为69.48万元，完成预算81.01%。决算数小于预算数的主要原因：职工人数减少。</w:t>
      </w:r>
    </w:p>
    <w:p>
      <w:pPr>
        <w:spacing w:line="360" w:lineRule="auto"/>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7、医疗卫生与计划生育支出（类）医疗保障（款）事业单位医疗（项）138.79万元。主要用于缴纳事业人员的医疗保险费。年初预算为150.45万元，支出决算为138.79万元，完成预算92.25%，决算数小于预算数的主要原因：职工人数减少。</w:t>
      </w:r>
    </w:p>
    <w:p>
      <w:pPr>
        <w:spacing w:line="360" w:lineRule="auto"/>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8、医疗卫生与计划生育支出（类）医疗保障（款）其他医疗卫生与计划生育支出（项）0.6万元。主要用于在职市管保健对象医疗保健统筹金。年初预算为0.6万元，支出决算为0.6万元，完成预算100%。</w:t>
      </w:r>
    </w:p>
    <w:p>
      <w:pPr>
        <w:spacing w:line="360" w:lineRule="auto"/>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9、住房保障支出(类)住房改革支出（款）住房公积金（项）161.67万元。主要用于教职工公积金的缴纳。年初预算为177.41万元，支出决算为161.67万元，完成预算91.12%。决算数小于预算数的主要原因：职工人数减少。</w:t>
      </w:r>
    </w:p>
    <w:p>
      <w:pPr>
        <w:spacing w:line="360" w:lineRule="auto"/>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10、住房保障支出（类）住房改革支出（款）购房补贴（项）181.66万元。主要用于发放行政人员的住房补贴。年初预算为193.08万元，支出决算为181.66万元，完成预算94.09%，决算数小于预算数的主要原因：职工人数减少。</w:t>
      </w:r>
    </w:p>
    <w:p>
      <w:pPr>
        <w:spacing w:line="360" w:lineRule="auto"/>
        <w:ind w:left="0" w:firstLine="600" w:firstLineChars="200"/>
        <w:jc w:val="left"/>
      </w:pPr>
      <w:r>
        <w:rPr>
          <w:rFonts w:hint="eastAsia" w:ascii="仿宋_GB2312" w:eastAsia="仿宋_GB2312" w:hAnsiTheme="minorEastAsia"/>
          <w:color w:val="000000"/>
          <w:sz w:val="30"/>
        </w:rPr>
        <w:t xml:space="preserve">    </w:t>
      </w:r>
    </w:p>
    <w:p>
      <w:pPr>
        <w:spacing w:line="360" w:lineRule="auto"/>
        <w:ind w:left="0" w:firstLine="602" w:firstLineChars="200"/>
        <w:jc w:val="left"/>
      </w:pPr>
      <w:r>
        <w:rPr>
          <w:rFonts w:hint="eastAsia" w:ascii="楷体_GB2312" w:eastAsia="楷体_GB2312" w:hAnsiTheme="minorEastAsia"/>
          <w:b/>
          <w:color w:val="000000"/>
          <w:sz w:val="30"/>
        </w:rPr>
        <w:t xml:space="preserve"> </w:t>
      </w:r>
      <w:r>
        <w:rPr>
          <w:rFonts w:hint="eastAsia" w:ascii="楷体" w:hAnsi="楷体" w:eastAsia="楷体"/>
          <w:b/>
          <w:color w:val="000000"/>
          <w:sz w:val="30"/>
        </w:rPr>
        <w:t>六、关于 中共上海市委党校第五分校（上海市经济管理干部学院） 2017年度一般公共预算财政拨款基本支出决算情况说明</w:t>
      </w:r>
    </w:p>
    <w:p>
      <w:pPr>
        <w:spacing w:line="360" w:lineRule="auto"/>
        <w:ind w:left="0" w:firstLine="600" w:firstLineChars="200"/>
        <w:jc w:val="left"/>
        <w:rPr>
          <w:rFonts w:ascii="仿宋_GB2312" w:eastAsia="仿宋_GB2312" w:hAnsiTheme="minorEastAsia"/>
          <w:color w:val="000000"/>
          <w:sz w:val="30"/>
        </w:rPr>
      </w:pPr>
      <w:r>
        <w:rPr>
          <w:rFonts w:hint="eastAsia" w:ascii="宋体" w:eastAsia="宋体" w:hAnsiTheme="minorEastAsia"/>
          <w:color w:val="000000"/>
          <w:sz w:val="30"/>
        </w:rPr>
        <w:t xml:space="preserve"> </w:t>
      </w:r>
      <w:r>
        <w:rPr>
          <w:rFonts w:hint="eastAsia" w:ascii="仿宋_GB2312" w:eastAsia="仿宋_GB2312" w:hAnsiTheme="minorEastAsia"/>
          <w:color w:val="000000"/>
          <w:sz w:val="30"/>
        </w:rPr>
        <w:t>中共上海市委党校第五分校（上海市经济管理干部学院） 2017 年度一般公共预算财政拨款基本支出3479.20万元，包括人员经费3017.69万元，公用经费461.51万元。基本支出中：</w:t>
      </w:r>
    </w:p>
    <w:p>
      <w:pPr>
        <w:spacing w:line="360" w:lineRule="auto"/>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 xml:space="preserve"> 1、 工资福利支出2531.12万元，主要用于：基本工资、津贴补贴、奖金、其他社会保障缴费、绩效工资、机关事业单位基本养老保险缴费、其他工资福利支出。</w:t>
      </w:r>
    </w:p>
    <w:p>
      <w:pPr>
        <w:spacing w:line="360" w:lineRule="auto"/>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 xml:space="preserve"> 2、 商品和服务支出461.51万元，主要用于：办公费、印刷费、咨询费、水费、电费、邮电费、差旅费、因公出国（境）费用、租赁费、会议费、培训费、公务接待费专用燃料费、工会经费、福利费、公务用车运行维护费、其他交通费用。</w:t>
      </w:r>
    </w:p>
    <w:p>
      <w:pPr>
        <w:spacing w:line="360" w:lineRule="auto"/>
        <w:ind w:left="0" w:firstLine="600" w:firstLineChars="200"/>
        <w:jc w:val="left"/>
      </w:pPr>
      <w:r>
        <w:rPr>
          <w:rFonts w:hint="eastAsia" w:ascii="仿宋_GB2312" w:eastAsia="仿宋_GB2312" w:hAnsiTheme="minorEastAsia"/>
          <w:color w:val="000000"/>
          <w:sz w:val="30"/>
        </w:rPr>
        <w:t>3、对个人和家庭的补助支出486.57万元，主要用于：离休费、退休费、住房公积金、购房补贴、其他人和家庭的补助支出。</w:t>
      </w:r>
    </w:p>
    <w:p>
      <w:pPr>
        <w:spacing w:line="360" w:lineRule="auto"/>
        <w:ind w:left="0" w:firstLine="12000" w:firstLineChars="4000"/>
        <w:jc w:val="left"/>
      </w:pPr>
      <w:r>
        <w:rPr>
          <w:rFonts w:hint="eastAsia" w:ascii="仿宋_GB2312" w:eastAsia="仿宋_GB2312" w:hAnsiTheme="minorEastAsia"/>
          <w:color w:val="000000"/>
          <w:sz w:val="30"/>
        </w:rPr>
        <w:t xml:space="preserve">   </w:t>
      </w:r>
    </w:p>
    <w:p>
      <w:pPr>
        <w:spacing w:line="360" w:lineRule="auto"/>
        <w:ind w:left="0" w:firstLine="602" w:firstLineChars="200"/>
        <w:jc w:val="left"/>
      </w:pPr>
      <w:r>
        <w:rPr>
          <w:rFonts w:hint="eastAsia" w:ascii="楷体_GB2312" w:eastAsia="楷体_GB2312" w:hAnsiTheme="minorEastAsia"/>
          <w:b/>
          <w:color w:val="000000"/>
          <w:sz w:val="30"/>
        </w:rPr>
        <w:t xml:space="preserve"> </w:t>
      </w:r>
      <w:r>
        <w:rPr>
          <w:rFonts w:hint="eastAsia" w:ascii="楷体" w:hAnsi="楷体" w:eastAsia="楷体"/>
          <w:b/>
          <w:color w:val="000000"/>
          <w:sz w:val="30"/>
        </w:rPr>
        <w:t>七、关于 中共上海市委党校第五分校（上海市经济管理干部学院） 2017年度一般公共预算财政拨款“三公”经费支出决算情况说明</w:t>
      </w:r>
    </w:p>
    <w:p>
      <w:pPr>
        <w:spacing w:line="360" w:lineRule="auto"/>
        <w:ind w:left="0" w:firstLine="602" w:firstLineChars="200"/>
        <w:jc w:val="left"/>
      </w:pPr>
      <w:r>
        <w:rPr>
          <w:rFonts w:hint="eastAsia" w:ascii="楷体_GB2312" w:eastAsia="楷体_GB2312" w:hAnsiTheme="minorEastAsia"/>
          <w:b/>
          <w:color w:val="000000"/>
          <w:sz w:val="30"/>
        </w:rPr>
        <w:t xml:space="preserve"> （一） “三公”经费财政拨款支出决算总体情况说明。</w:t>
      </w:r>
    </w:p>
    <w:p>
      <w:pPr>
        <w:spacing w:line="360" w:lineRule="auto"/>
        <w:ind w:left="0" w:firstLine="600" w:firstLineChars="200"/>
        <w:jc w:val="left"/>
        <w:rPr>
          <w:rFonts w:ascii="仿宋_GB2312" w:eastAsia="仿宋_GB2312" w:hAnsiTheme="minorEastAsia"/>
          <w:color w:val="000000"/>
          <w:sz w:val="30"/>
        </w:rPr>
      </w:pPr>
      <w:r>
        <w:rPr>
          <w:rFonts w:hint="eastAsia" w:ascii="宋体" w:eastAsia="宋体" w:hAnsiTheme="minorEastAsia"/>
          <w:color w:val="000000"/>
          <w:sz w:val="30"/>
        </w:rPr>
        <w:t xml:space="preserve"> </w:t>
      </w:r>
      <w:r>
        <w:rPr>
          <w:rFonts w:hint="eastAsia" w:ascii="仿宋_GB2312" w:eastAsia="仿宋_GB2312" w:hAnsiTheme="minorEastAsia"/>
          <w:color w:val="000000"/>
          <w:sz w:val="30"/>
        </w:rPr>
        <w:t>中共上海市委党校第五分校（上海市经济管理干部学院） 2017 年度“三公”经费财政拨款支出年初预算为81.50万元，支出决算为58.61万元，完成预算的71.91%，其中：因公出国（境）费决算为36.76万元，完成预算的89.66%；公务用车购置及运行维护费支出决算为21.03万元，完成预算的66.76%；公务接待费支出决算为0.82万元，完成预算的9.11%。2017年度“三公”经费支出决算数小于预算数的主要原因：控制了三公经费支出。</w:t>
      </w:r>
    </w:p>
    <w:p>
      <w:pPr>
        <w:spacing w:line="360" w:lineRule="auto"/>
        <w:ind w:left="0" w:firstLine="600" w:firstLineChars="200"/>
        <w:jc w:val="left"/>
      </w:pPr>
      <w:r>
        <w:rPr>
          <w:rFonts w:hint="eastAsia" w:ascii="仿宋_GB2312" w:eastAsia="仿宋_GB2312" w:hAnsiTheme="minorEastAsia"/>
          <w:color w:val="000000"/>
          <w:sz w:val="30"/>
        </w:rPr>
        <w:t>2017 年度“三公”经费财政拨款支出决算数比2016年度减少4.94万元，降低7.77%，其中：因公出国（境）费支出增加7.68万元，增长26.45%；公务用车购置及运行维护费支出决算减少9.22万元，降低30.48%；公务接待费支出决算减少3.4万元，降低80.57%。因公出国（境）费增加的主要原因是安排教师境外培训研修。公务用车购置及运行维护费支出减少的主要原因是车辆运行使用费减少。公务接待费支出减少的主要原因是接待的批次减少。</w:t>
      </w:r>
    </w:p>
    <w:p>
      <w:pPr>
        <w:spacing w:line="360" w:lineRule="auto"/>
        <w:ind w:left="0" w:firstLine="12047" w:firstLineChars="4000"/>
        <w:jc w:val="left"/>
      </w:pPr>
      <w:r>
        <w:rPr>
          <w:rFonts w:hint="eastAsia" w:ascii="楷体_GB2312" w:eastAsia="楷体_GB2312" w:hAnsiTheme="minorEastAsia"/>
          <w:b/>
          <w:color w:val="000000"/>
          <w:sz w:val="30"/>
        </w:rPr>
        <w:t xml:space="preserve"> （二） “三公”经费财政拨款支出决算具体情况说明。</w:t>
      </w:r>
    </w:p>
    <w:p>
      <w:pPr>
        <w:spacing w:line="360" w:lineRule="auto"/>
        <w:ind w:left="0" w:firstLine="600" w:firstLineChars="200"/>
        <w:jc w:val="left"/>
      </w:pPr>
      <w:r>
        <w:rPr>
          <w:rFonts w:hint="eastAsia" w:ascii="仿宋_GB2312" w:eastAsia="仿宋_GB2312" w:hAnsiTheme="minorEastAsia"/>
          <w:color w:val="000000"/>
          <w:sz w:val="30"/>
        </w:rPr>
        <w:t xml:space="preserve">   2017 年度“三公”经费财政拨款支出决算中，因公出国（境）费支出决算36.76万元，占62.72%；公务用车购置及运行维护费支出决算21.03万元，占35.88%；公务接待费支出决算0.82万元，占1.40%。具体情况如下：</w:t>
      </w:r>
    </w:p>
    <w:p>
      <w:pPr>
        <w:spacing w:line="360" w:lineRule="auto"/>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 xml:space="preserve">   1、 因公出国（境）费支出36.76万元。全年安排因公出国（境）团组5个、累计11人次 。开支内容包括：国外城市间交通费、住宿费、伙食费、培训费、公杂费等支出。</w:t>
      </w:r>
    </w:p>
    <w:p>
      <w:pPr>
        <w:spacing w:line="360" w:lineRule="auto"/>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2、 公务用车购置及运行维护费支出21.03万元。其中：</w:t>
      </w:r>
    </w:p>
    <w:p>
      <w:pPr>
        <w:spacing w:line="360" w:lineRule="auto"/>
        <w:ind w:left="210" w:leftChars="100" w:firstLine="300" w:firstLineChars="100"/>
        <w:jc w:val="left"/>
        <w:rPr>
          <w:rFonts w:hint="eastAsia" w:ascii="仿宋_GB2312" w:eastAsia="仿宋_GB2312" w:hAnsiTheme="minorEastAsia"/>
          <w:color w:val="000000"/>
          <w:sz w:val="30"/>
        </w:rPr>
      </w:pPr>
      <w:r>
        <w:rPr>
          <w:rFonts w:hint="eastAsia" w:ascii="仿宋_GB2312" w:eastAsia="仿宋_GB2312" w:hAnsiTheme="minorEastAsia"/>
          <w:color w:val="000000"/>
          <w:sz w:val="30"/>
        </w:rPr>
        <w:t xml:space="preserve"> 公务用车购置支出为0万元。</w:t>
      </w:r>
    </w:p>
    <w:p>
      <w:pPr>
        <w:spacing w:line="360" w:lineRule="auto"/>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公务用车运行维护支出 21.03 万元。主要用于车辆维修、车辆保险费、汽油费、通行费等。</w:t>
      </w:r>
    </w:p>
    <w:p>
      <w:pPr>
        <w:spacing w:line="360" w:lineRule="auto"/>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 xml:space="preserve"> 2017 年， 中共上海市委党校第五分校（上海市经济管理干部学院） 所属各预算单位开支财政拨款的公务用车保有量为 9 辆。</w:t>
      </w:r>
    </w:p>
    <w:p>
      <w:pPr>
        <w:spacing w:line="360" w:lineRule="auto"/>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 xml:space="preserve"> 3、公务接待费支出0.82万元。其中：</w:t>
      </w:r>
    </w:p>
    <w:p>
      <w:pPr>
        <w:spacing w:line="360" w:lineRule="auto"/>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 xml:space="preserve">    国内公务接待支出0.82万（含外宾接待支出0.29万元）。主要用于教学业务接待，2017公务接待25批、人数130人，其中：接待外宾3批、人数25人。</w:t>
      </w:r>
    </w:p>
    <w:p>
      <w:pPr>
        <w:spacing w:line="360" w:lineRule="auto"/>
        <w:ind w:left="0" w:firstLine="12000" w:firstLineChars="4000"/>
        <w:jc w:val="left"/>
      </w:pPr>
      <w:r>
        <w:rPr>
          <w:rFonts w:hint="eastAsia" w:ascii="仿宋_GB2312" w:eastAsia="仿宋_GB2312" w:hAnsiTheme="minorEastAsia"/>
          <w:color w:val="000000"/>
          <w:sz w:val="30"/>
        </w:rPr>
        <w:t xml:space="preserve">       </w:t>
      </w:r>
    </w:p>
    <w:p>
      <w:pPr>
        <w:spacing w:line="360" w:lineRule="auto"/>
        <w:ind w:left="0" w:firstLine="602" w:firstLineChars="200"/>
        <w:jc w:val="left"/>
        <w:rPr>
          <w:rFonts w:ascii="楷体" w:hAnsi="楷体" w:eastAsia="楷体"/>
        </w:rPr>
      </w:pPr>
      <w:r>
        <w:rPr>
          <w:rFonts w:hint="eastAsia" w:ascii="楷体_GB2312" w:eastAsia="楷体_GB2312" w:hAnsiTheme="minorEastAsia"/>
          <w:b/>
          <w:color w:val="000000"/>
          <w:sz w:val="30"/>
        </w:rPr>
        <w:t xml:space="preserve"> </w:t>
      </w:r>
      <w:r>
        <w:rPr>
          <w:rFonts w:hint="eastAsia" w:ascii="楷体" w:hAnsi="楷体" w:eastAsia="楷体"/>
          <w:b/>
          <w:color w:val="000000"/>
          <w:sz w:val="30"/>
        </w:rPr>
        <w:t>八、关于中共上海市委党校第五分校（上海市经济管理干部学院） 2017年度政府性基金预算财政拨款支出决算情况说明</w:t>
      </w:r>
    </w:p>
    <w:p>
      <w:pPr>
        <w:spacing w:line="360" w:lineRule="auto"/>
        <w:ind w:left="0" w:firstLine="600" w:firstLineChars="200"/>
        <w:jc w:val="left"/>
        <w:rPr>
          <w:rFonts w:ascii="宋体" w:eastAsia="宋体" w:hAnsiTheme="minorEastAsia"/>
          <w:color w:val="000000"/>
          <w:sz w:val="30"/>
        </w:rPr>
      </w:pPr>
      <w:r>
        <w:rPr>
          <w:rFonts w:hint="eastAsia" w:ascii="宋体" w:eastAsia="宋体" w:hAnsiTheme="minorEastAsia"/>
          <w:color w:val="000000"/>
          <w:sz w:val="30"/>
        </w:rPr>
        <w:t xml:space="preserve"> </w:t>
      </w:r>
      <w:r>
        <w:rPr>
          <w:rFonts w:hint="eastAsia" w:ascii="仿宋_GB2312" w:eastAsia="仿宋_GB2312" w:hAnsiTheme="minorEastAsia"/>
          <w:color w:val="000000"/>
          <w:sz w:val="30"/>
        </w:rPr>
        <w:t>中共上海市委党校第五分校（上海市经济管理干部学院） 2017年度无政府性基金预算财政拨款支出。</w:t>
      </w:r>
    </w:p>
    <w:p>
      <w:pPr>
        <w:spacing w:line="360" w:lineRule="auto"/>
        <w:ind w:left="0" w:firstLine="602" w:firstLineChars="200"/>
        <w:jc w:val="left"/>
        <w:rPr>
          <w:rFonts w:ascii="楷体" w:hAnsi="楷体" w:eastAsia="楷体"/>
        </w:rPr>
      </w:pPr>
      <w:r>
        <w:rPr>
          <w:rFonts w:hint="eastAsia" w:ascii="楷体" w:hAnsi="楷体" w:eastAsia="楷体"/>
          <w:b/>
          <w:color w:val="000000"/>
          <w:sz w:val="30"/>
        </w:rPr>
        <w:t>九、国有资本经营预算财政拨款情况说明</w:t>
      </w:r>
    </w:p>
    <w:p>
      <w:pPr>
        <w:spacing w:line="360" w:lineRule="auto"/>
        <w:ind w:left="0" w:firstLine="600" w:firstLineChars="200"/>
        <w:jc w:val="left"/>
      </w:pPr>
      <w:r>
        <w:rPr>
          <w:rFonts w:hint="eastAsia" w:ascii="仿宋_GB2312" w:eastAsia="仿宋_GB2312" w:hAnsiTheme="minorEastAsia"/>
          <w:color w:val="000000"/>
          <w:sz w:val="30"/>
        </w:rPr>
        <w:t xml:space="preserve"> </w:t>
      </w:r>
      <w:r>
        <w:rPr>
          <w:rFonts w:hint="eastAsia" w:ascii="宋体" w:eastAsia="宋体" w:hAnsiTheme="minorEastAsia"/>
          <w:color w:val="000000"/>
          <w:sz w:val="30"/>
        </w:rPr>
        <w:t xml:space="preserve"> </w:t>
      </w:r>
      <w:r>
        <w:rPr>
          <w:rFonts w:hint="eastAsia" w:ascii="仿宋_GB2312" w:eastAsia="仿宋_GB2312" w:hAnsiTheme="minorEastAsia"/>
          <w:color w:val="000000"/>
          <w:sz w:val="30"/>
        </w:rPr>
        <w:t>中共上海市委党校第五分校（上海市经济管理干部学院） 2017 年度无国有资本经营预算财政拨款支出 。</w:t>
      </w:r>
    </w:p>
    <w:p>
      <w:pPr>
        <w:spacing w:line="360" w:lineRule="auto"/>
        <w:ind w:left="0" w:firstLine="602" w:firstLineChars="200"/>
        <w:jc w:val="left"/>
        <w:rPr>
          <w:rFonts w:ascii="楷体" w:hAnsi="楷体" w:eastAsia="楷体"/>
          <w:b/>
          <w:color w:val="000000"/>
          <w:sz w:val="30"/>
        </w:rPr>
      </w:pPr>
      <w:r>
        <w:rPr>
          <w:rFonts w:hint="eastAsia" w:ascii="楷体" w:hAnsi="楷体" w:eastAsia="楷体"/>
          <w:b/>
          <w:color w:val="000000"/>
          <w:sz w:val="30"/>
        </w:rPr>
        <w:t xml:space="preserve"> 十、其他重要事项的情况说明</w:t>
      </w:r>
    </w:p>
    <w:p>
      <w:pPr>
        <w:spacing w:line="360" w:lineRule="auto"/>
        <w:ind w:left="0" w:firstLine="602" w:firstLineChars="200"/>
        <w:jc w:val="left"/>
      </w:pPr>
      <w:r>
        <w:rPr>
          <w:rFonts w:hint="eastAsia" w:ascii="楷体_GB2312" w:eastAsia="楷体_GB2312" w:hAnsiTheme="minorEastAsia"/>
          <w:b/>
          <w:color w:val="000000"/>
          <w:sz w:val="30"/>
        </w:rPr>
        <w:t xml:space="preserve"> （一）机关运行经费支出情况。</w:t>
      </w:r>
    </w:p>
    <w:p>
      <w:pPr>
        <w:spacing w:line="360" w:lineRule="auto"/>
        <w:ind w:left="0" w:firstLine="600" w:firstLineChars="200"/>
        <w:jc w:val="left"/>
        <w:rPr>
          <w:rFonts w:ascii="仿宋_GB2312" w:eastAsia="仿宋_GB2312" w:hAnsiTheme="minorEastAsia"/>
          <w:color w:val="000000"/>
          <w:sz w:val="30"/>
        </w:rPr>
      </w:pPr>
      <w:r>
        <w:rPr>
          <w:rFonts w:hint="eastAsia" w:ascii="宋体" w:eastAsia="宋体" w:hAnsiTheme="minorEastAsia"/>
          <w:color w:val="000000"/>
          <w:sz w:val="30"/>
        </w:rPr>
        <w:t xml:space="preserve">  </w:t>
      </w:r>
      <w:r>
        <w:rPr>
          <w:rFonts w:hint="eastAsia" w:ascii="仿宋_GB2312" w:hAnsi="仿宋_GB2312" w:eastAsia="仿宋_GB2312" w:cs="仿宋_GB2312"/>
          <w:color w:val="000000"/>
          <w:sz w:val="30"/>
        </w:rPr>
        <w:t>中共上海市委党校第五分校（上海市经济管理干部学院）</w:t>
      </w:r>
      <w:r>
        <w:rPr>
          <w:rFonts w:hint="eastAsia" w:ascii="仿宋_GB2312" w:eastAsia="仿宋_GB2312" w:hAnsiTheme="minorEastAsia"/>
          <w:color w:val="000000"/>
          <w:sz w:val="30"/>
        </w:rPr>
        <w:t xml:space="preserve"> 2017年度 机关运行经费支出461.51万元，比2016年度减少152.34万元，降低24.82%。主要原因是减少了“三公”经费的开支、教职工人数减少。</w:t>
      </w:r>
    </w:p>
    <w:p>
      <w:pPr>
        <w:spacing w:line="360" w:lineRule="auto"/>
        <w:ind w:left="0" w:firstLine="420" w:firstLineChars="200"/>
        <w:jc w:val="left"/>
      </w:pPr>
    </w:p>
    <w:p>
      <w:pPr>
        <w:spacing w:line="360" w:lineRule="auto"/>
        <w:ind w:left="0" w:firstLine="602" w:firstLineChars="200"/>
        <w:jc w:val="left"/>
      </w:pPr>
      <w:r>
        <w:rPr>
          <w:rFonts w:hint="eastAsia" w:ascii="楷体_GB2312" w:eastAsia="楷体_GB2312" w:hAnsiTheme="minorEastAsia"/>
          <w:b/>
          <w:color w:val="000000"/>
          <w:sz w:val="30"/>
        </w:rPr>
        <w:t>（二）政府采购支出情况。</w:t>
      </w:r>
    </w:p>
    <w:p>
      <w:pPr>
        <w:spacing w:line="360" w:lineRule="auto"/>
        <w:ind w:left="0" w:firstLine="600" w:firstLineChars="200"/>
        <w:jc w:val="left"/>
      </w:pPr>
      <w:r>
        <w:rPr>
          <w:rFonts w:hint="eastAsia" w:ascii="仿宋_GB2312" w:hAnsi="仿宋_GB2312" w:eastAsia="仿宋_GB2312" w:cs="仿宋_GB2312"/>
          <w:color w:val="000000"/>
          <w:sz w:val="30"/>
        </w:rPr>
        <w:t xml:space="preserve"> 中共上海市委党校第五分校（上海市经济管理干部学院） </w:t>
      </w:r>
      <w:r>
        <w:rPr>
          <w:rFonts w:hint="eastAsia" w:ascii="仿宋_GB2312" w:eastAsia="仿宋_GB2312" w:hAnsiTheme="minorEastAsia"/>
          <w:color w:val="000000"/>
          <w:sz w:val="30"/>
        </w:rPr>
        <w:t xml:space="preserve">2017 年度政府采购金额（以合同签订为准）为382.11万元，其中：货物采购金额130.56万元、工程采购金额190.55万元、服务采购金额65万元 。 </w:t>
      </w:r>
    </w:p>
    <w:p>
      <w:pPr>
        <w:spacing w:line="360" w:lineRule="auto"/>
        <w:ind w:left="0" w:firstLine="600" w:firstLineChars="200"/>
        <w:jc w:val="left"/>
      </w:pPr>
      <w:r>
        <w:rPr>
          <w:rFonts w:hint="eastAsia" w:ascii="仿宋_GB2312" w:eastAsia="仿宋_GB2312" w:hAnsiTheme="minorEastAsia"/>
          <w:color w:val="000000"/>
          <w:sz w:val="30"/>
        </w:rPr>
        <w:t xml:space="preserve"> 2017 年度本部门面向中小企业预留政府采购项目预算金额0万元，面向小微企业预留政府采购项目预算金额402.13万元。在面向中小企业预留的政府采购项目中，由中小企业供应商中标或成交的，采购金额0万元；在面向小微企业预留政府采购项目中，由小微企业供应商中标或成交的，采购金额382.11万元；在其他政府采购项目中，由中小企业供应商中标或成交的，采购金额0万元 。</w:t>
      </w:r>
    </w:p>
    <w:p>
      <w:pPr>
        <w:spacing w:line="360" w:lineRule="auto"/>
        <w:ind w:left="0" w:firstLine="602" w:firstLineChars="200"/>
        <w:jc w:val="left"/>
      </w:pPr>
      <w:r>
        <w:rPr>
          <w:rFonts w:hint="eastAsia" w:ascii="楷体_GB2312" w:eastAsia="楷体_GB2312" w:hAnsiTheme="minorEastAsia"/>
          <w:b/>
          <w:color w:val="000000"/>
          <w:sz w:val="30"/>
        </w:rPr>
        <w:t xml:space="preserve"> （三）国有资产占用情况。</w:t>
      </w:r>
    </w:p>
    <w:p>
      <w:pPr>
        <w:spacing w:line="360" w:lineRule="auto"/>
        <w:ind w:left="0" w:firstLine="600" w:firstLineChars="200"/>
        <w:jc w:val="left"/>
        <w:rPr>
          <w:rFonts w:ascii="仿宋_GB2312" w:eastAsia="仿宋_GB2312" w:hAnsiTheme="minorEastAsia"/>
          <w:color w:val="000000"/>
          <w:sz w:val="30"/>
        </w:rPr>
      </w:pPr>
      <w:r>
        <w:rPr>
          <w:rFonts w:hint="eastAsia" w:ascii="仿宋_GB2312" w:eastAsia="仿宋_GB2312" w:hAnsiTheme="minorEastAsia"/>
          <w:color w:val="000000"/>
          <w:sz w:val="30"/>
        </w:rPr>
        <w:t xml:space="preserve"> 截至2017 年 12 月 31 日 ，</w:t>
      </w:r>
      <w:r>
        <w:rPr>
          <w:rFonts w:hint="eastAsia" w:ascii="黑体" w:eastAsia="黑体" w:hAnsiTheme="minorEastAsia"/>
          <w:color w:val="000000"/>
          <w:sz w:val="30"/>
        </w:rPr>
        <w:t xml:space="preserve"> </w:t>
      </w:r>
      <w:r>
        <w:rPr>
          <w:rFonts w:hint="eastAsia" w:ascii="仿宋_GB2312" w:eastAsia="仿宋_GB2312" w:hAnsiTheme="minorEastAsia"/>
          <w:color w:val="000000"/>
          <w:sz w:val="30"/>
        </w:rPr>
        <w:t>中共上海市委党校第五分校</w:t>
      </w:r>
      <w:r>
        <w:rPr>
          <w:rFonts w:hint="eastAsia" w:ascii="黑体" w:eastAsia="黑体" w:hAnsiTheme="minorEastAsia"/>
          <w:color w:val="000000"/>
          <w:sz w:val="30"/>
        </w:rPr>
        <w:t>（</w:t>
      </w:r>
      <w:r>
        <w:rPr>
          <w:rFonts w:hint="eastAsia" w:ascii="仿宋_GB2312" w:eastAsia="仿宋_GB2312" w:hAnsiTheme="minorEastAsia"/>
          <w:color w:val="000000"/>
          <w:sz w:val="30"/>
        </w:rPr>
        <w:t>上海市经济管理干部学院） 共有车辆 9辆，其中，一般公务用车9 辆、一般执法执勤用车 0 辆、特种专业技术用车 0辆、其他用车0辆。单位价值 50 万元以上通用设备 10台（套），单位价值 100 万元以上专用设备4台（套） 。</w:t>
      </w:r>
    </w:p>
    <w:p>
      <w:pPr>
        <w:spacing w:line="360" w:lineRule="auto"/>
        <w:ind w:left="0" w:firstLine="602" w:firstLineChars="200"/>
        <w:jc w:val="left"/>
      </w:pPr>
      <w:r>
        <w:rPr>
          <w:rFonts w:hint="eastAsia" w:ascii="楷体_GB2312" w:eastAsia="楷体_GB2312" w:hAnsiTheme="minorEastAsia"/>
          <w:b/>
          <w:color w:val="000000"/>
          <w:sz w:val="30"/>
        </w:rPr>
        <w:t xml:space="preserve"> （四）预算绩效管理情况。</w:t>
      </w:r>
    </w:p>
    <w:p>
      <w:pPr>
        <w:spacing w:line="360" w:lineRule="auto"/>
        <w:ind w:left="0" w:firstLine="600" w:firstLineChars="200"/>
        <w:jc w:val="left"/>
        <w:rPr>
          <w:rFonts w:hint="eastAsia" w:ascii="仿宋_GB2312" w:eastAsia="仿宋_GB2312" w:hAnsiTheme="minorEastAsia"/>
          <w:color w:val="000000"/>
          <w:sz w:val="30"/>
        </w:rPr>
      </w:pPr>
      <w:r>
        <w:rPr>
          <w:rFonts w:hint="eastAsia" w:ascii="宋体" w:eastAsia="宋体" w:hAnsiTheme="minorEastAsia"/>
          <w:color w:val="000000"/>
          <w:sz w:val="30"/>
        </w:rPr>
        <w:t xml:space="preserve"> </w:t>
      </w:r>
      <w:r>
        <w:rPr>
          <w:rFonts w:hint="eastAsia" w:ascii="仿宋_GB2312" w:hAnsi="仿宋_GB2312" w:eastAsia="仿宋_GB2312" w:cs="仿宋_GB2312"/>
          <w:color w:val="000000"/>
          <w:sz w:val="30"/>
        </w:rPr>
        <w:t xml:space="preserve">中共上海市委党校第五分校（上海市经济管理干部学院） </w:t>
      </w:r>
      <w:r>
        <w:rPr>
          <w:rFonts w:hint="eastAsia" w:ascii="仿宋_GB2312" w:eastAsia="仿宋_GB2312" w:hAnsiTheme="minorEastAsia"/>
          <w:color w:val="000000"/>
          <w:sz w:val="30"/>
        </w:rPr>
        <w:t>2017 年度预算绩效管理工作开展情况如下：</w:t>
      </w:r>
      <w:bookmarkStart w:id="0" w:name="_GoBack"/>
      <w:bookmarkEnd w:id="0"/>
      <w:r>
        <w:rPr>
          <w:rFonts w:hint="eastAsia" w:ascii="仿宋_GB2312" w:eastAsia="仿宋_GB2312" w:hAnsiTheme="minorEastAsia"/>
          <w:color w:val="000000"/>
          <w:sz w:val="30"/>
        </w:rPr>
        <w:t>本部门建立了如下预算绩效管理制度：重要规章制度汇编，建立了以校院分管副校长领导下行政部门的主管和各部门配合的预算绩效管理工作机制；全过程绩效管理实施情况：2017年度开展的绩效跟踪评价项目2个，涉及预算金额4257.49万元；2017年度开展的绩效评价项目1个，涉及预算金额1349万元，平均得分95.50分（其中，绩效评级为“优”的项目1个；绩效评级为“良”的项目0个；绩效评级为“合格”的项目0个；绩效评级为“不合格”的项目0个） 。</w:t>
      </w:r>
    </w:p>
    <w:p>
      <w:pPr>
        <w:spacing w:line="360" w:lineRule="auto"/>
        <w:ind w:left="0" w:firstLine="600" w:firstLineChars="200"/>
        <w:jc w:val="left"/>
        <w:rPr>
          <w:rFonts w:hint="eastAsia" w:ascii="仿宋_GB2312" w:eastAsia="仿宋_GB2312" w:hAnsiTheme="minorEastAsia"/>
          <w:color w:val="000000"/>
          <w:sz w:val="30"/>
        </w:rPr>
      </w:pPr>
    </w:p>
    <w:p>
      <w:pPr>
        <w:spacing w:line="360" w:lineRule="auto"/>
        <w:ind w:left="0" w:firstLine="0"/>
        <w:jc w:val="center"/>
      </w:pPr>
      <w:r>
        <w:rPr>
          <w:rFonts w:hint="eastAsia" w:ascii="黑体" w:eastAsia="黑体" w:hAnsiTheme="minorEastAsia"/>
          <w:color w:val="000000"/>
          <w:sz w:val="30"/>
        </w:rPr>
        <w:t xml:space="preserve"> 第四部分  名词解释</w:t>
      </w:r>
    </w:p>
    <w:p>
      <w:pPr>
        <w:spacing w:line="360" w:lineRule="auto"/>
        <w:ind w:left="0" w:firstLine="12000" w:firstLineChars="4000"/>
        <w:jc w:val="left"/>
      </w:pPr>
      <w:r>
        <w:rPr>
          <w:rFonts w:hint="eastAsia" w:ascii="仿宋_GB2312" w:eastAsia="仿宋_GB2312" w:hAnsiTheme="minorEastAsia"/>
          <w:color w:val="000000"/>
          <w:sz w:val="30"/>
        </w:rPr>
        <w:t xml:space="preserve"> 一、财政拨款收入：指单位本年度从本级财政部门取得的财政拨款，包括一般公共预算财政拨款和政府性基金预算财政拨款。</w:t>
      </w:r>
    </w:p>
    <w:p>
      <w:pPr>
        <w:spacing w:line="360" w:lineRule="auto"/>
        <w:ind w:left="0" w:firstLine="12000" w:firstLineChars="4000"/>
        <w:jc w:val="left"/>
      </w:pPr>
      <w:r>
        <w:rPr>
          <w:rFonts w:hint="eastAsia" w:ascii="仿宋_GB2312" w:eastAsia="仿宋_GB2312" w:hAnsiTheme="minorEastAsia"/>
          <w:color w:val="000000"/>
          <w:sz w:val="30"/>
        </w:rPr>
        <w:t xml:space="preserve"> 二、事业收入：指事业单位开展专业业务活动及其辅助活动取得的收入。主要是：培训费收入等。</w:t>
      </w:r>
    </w:p>
    <w:p>
      <w:pPr>
        <w:spacing w:line="360" w:lineRule="auto"/>
        <w:ind w:left="0" w:firstLine="12000" w:firstLineChars="4000"/>
        <w:jc w:val="left"/>
        <w:rPr>
          <w:rFonts w:ascii="仿宋_GB2312" w:eastAsia="仿宋_GB2312" w:hAnsiTheme="minorEastAsia"/>
          <w:color w:val="000000"/>
          <w:sz w:val="30"/>
        </w:rPr>
      </w:pPr>
      <w:r>
        <w:rPr>
          <w:rFonts w:hint="eastAsia" w:ascii="仿宋_GB2312" w:eastAsia="仿宋_GB2312" w:hAnsiTheme="minorEastAsia"/>
          <w:color w:val="000000"/>
          <w:sz w:val="30"/>
        </w:rPr>
        <w:t xml:space="preserve"> 三、经营收入：指事业单位在专业业务活动及其辅助活动之外开展非独立核算经营活动取得的收入。</w:t>
      </w:r>
    </w:p>
    <w:p>
      <w:pPr>
        <w:spacing w:line="360" w:lineRule="auto"/>
        <w:ind w:left="0" w:firstLine="12000" w:firstLineChars="4000"/>
        <w:jc w:val="left"/>
      </w:pPr>
      <w:r>
        <w:rPr>
          <w:rFonts w:hint="eastAsia" w:ascii="仿宋_GB2312" w:eastAsia="仿宋_GB2312" w:hAnsiTheme="minorEastAsia"/>
          <w:color w:val="000000"/>
          <w:sz w:val="30"/>
        </w:rPr>
        <w:t>四四、其他收入：指单位取得的除“财政拨款收入”、“事业收入”、“经营收入”等以外的收入。主要是利息收入等。</w:t>
      </w:r>
    </w:p>
    <w:p>
      <w:pPr>
        <w:spacing w:line="360" w:lineRule="auto"/>
        <w:ind w:left="0" w:firstLine="12000" w:firstLineChars="4000"/>
        <w:jc w:val="left"/>
      </w:pPr>
      <w:r>
        <w:rPr>
          <w:rFonts w:hint="eastAsia" w:ascii="仿宋_GB2312" w:eastAsia="仿宋_GB2312" w:hAnsiTheme="minorEastAsia"/>
          <w:color w:val="000000"/>
          <w:sz w:val="30"/>
        </w:rPr>
        <w:t xml:space="preserve"> 五、年初结转和结余：指以前年度尚未完成、结转到本年按有关规定继续使用的资金。</w:t>
      </w:r>
    </w:p>
    <w:p>
      <w:pPr>
        <w:spacing w:line="360" w:lineRule="auto"/>
        <w:ind w:left="0" w:firstLine="12000" w:firstLineChars="4000"/>
        <w:jc w:val="left"/>
      </w:pPr>
      <w:r>
        <w:rPr>
          <w:rFonts w:hint="eastAsia" w:ascii="仿宋_GB2312" w:eastAsia="仿宋_GB2312" w:hAnsiTheme="minorEastAsia"/>
          <w:color w:val="000000"/>
          <w:sz w:val="30"/>
        </w:rPr>
        <w:t xml:space="preserve"> 六、年末结转和结余：指本年度或以前年度预算安排、因客观条件发生变化无法按原计划实施，需延迟到以后年度按有关规定继续使用的资金。</w:t>
      </w:r>
    </w:p>
    <w:p>
      <w:pPr>
        <w:spacing w:line="360" w:lineRule="auto"/>
        <w:ind w:left="0" w:firstLine="12000" w:firstLineChars="4000"/>
        <w:jc w:val="left"/>
      </w:pPr>
      <w:r>
        <w:rPr>
          <w:rFonts w:hint="eastAsia" w:ascii="仿宋_GB2312" w:eastAsia="仿宋_GB2312" w:hAnsiTheme="minorEastAsia"/>
          <w:color w:val="000000"/>
          <w:sz w:val="30"/>
        </w:rPr>
        <w:t xml:space="preserve"> 七、基本支出：指单位为保障机构正常运转、完成日常工作任务而发生的各项支出。</w:t>
      </w:r>
    </w:p>
    <w:p>
      <w:pPr>
        <w:spacing w:line="360" w:lineRule="auto"/>
        <w:ind w:left="0" w:firstLine="12000" w:firstLineChars="4000"/>
        <w:jc w:val="left"/>
      </w:pPr>
      <w:r>
        <w:rPr>
          <w:rFonts w:hint="eastAsia" w:ascii="仿宋_GB2312" w:eastAsia="仿宋_GB2312" w:hAnsiTheme="minorEastAsia"/>
          <w:color w:val="000000"/>
          <w:sz w:val="30"/>
        </w:rPr>
        <w:t xml:space="preserve"> 八、项目支出：指单位为完成特定的行政工作任务或事业发展目标，在基本支出之外发生的各项支出。</w:t>
      </w:r>
    </w:p>
    <w:p>
      <w:pPr>
        <w:spacing w:line="360" w:lineRule="auto"/>
        <w:ind w:left="0" w:firstLine="12000" w:firstLineChars="4000"/>
        <w:jc w:val="left"/>
      </w:pPr>
      <w:r>
        <w:rPr>
          <w:rFonts w:hint="eastAsia" w:ascii="仿宋_GB2312" w:eastAsia="仿宋_GB2312" w:hAnsiTheme="minorEastAsia"/>
          <w:color w:val="000000"/>
          <w:sz w:val="30"/>
        </w:rPr>
        <w:t xml:space="preserve"> 九、经营支出：指事业单位在专业活动及辅助活动之外开展非独立核算经营活动发生的支出。</w:t>
      </w:r>
    </w:p>
    <w:p>
      <w:pPr>
        <w:spacing w:line="360" w:lineRule="auto"/>
        <w:ind w:left="0" w:firstLine="12000" w:firstLineChars="4000"/>
        <w:jc w:val="left"/>
      </w:pPr>
      <w:r>
        <w:rPr>
          <w:rFonts w:hint="eastAsia" w:ascii="仿宋_GB2312" w:eastAsia="仿宋_GB2312" w:hAnsiTheme="minorEastAsia"/>
          <w:color w:val="000000"/>
          <w:sz w:val="30"/>
        </w:rPr>
        <w:t xml:space="preserve"> 十、“三公”经费：指单位使用本级财政拨款安排的因公出国（境）费、公务用车购置及运行维护费和公务接待费。其中:因公出国（境）费反映单位参加国际合作交流、重大项目洽谈、境外培训研修等的国际旅费、国外城市间交通费、住宿费、伙食费、培训费、公杂费等支出；公务接待费反映全国性专业会议、国家重大政策调研、专项检查以及外事团组接待交流等执行公务或开展业务所需住宿费、交通费、伙食费等支出；公务用车购置及运行维护费反映编制内公务车辆的报废更新，以及用于安排市内因公出差、公务文件交换、日常工作开展等所需公务用车燃料费、维修费、过路过桥费、保险费等支出。</w:t>
      </w:r>
    </w:p>
    <w:p>
      <w:pPr>
        <w:spacing w:line="360" w:lineRule="auto"/>
        <w:ind w:left="0" w:firstLine="12000" w:firstLineChars="4000"/>
        <w:jc w:val="left"/>
      </w:pPr>
      <w:r>
        <w:rPr>
          <w:rFonts w:hint="eastAsia" w:ascii="仿宋_GB2312" w:eastAsia="仿宋_GB2312" w:hAnsiTheme="minorEastAsia"/>
          <w:color w:val="000000"/>
          <w:sz w:val="30"/>
        </w:rPr>
        <w:t xml:space="preserve"> 十一、机关运行经费：指行政单位和参照公务员法管理的事业单位使用一般公共预算财政拨款安排的基本支出中的日常公用经费支出。</w:t>
      </w:r>
    </w:p>
    <w:sectPr>
      <w:footerReference r:id="rId3" w:type="default"/>
      <w:pgSz w:w="11906" w:h="16838"/>
      <w:pgMar w:top="1440" w:right="1797" w:bottom="1440" w:left="1797" w:header="850" w:footer="95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roman"/>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ascii="宋体" w:eastAsia="宋体" w:hAnsiTheme="minorEastAsia"/>
        <w:color w:val="000000"/>
      </w:rPr>
      <w:fldChar w:fldCharType="begin"/>
    </w:r>
    <w:r>
      <w:rPr>
        <w:rFonts w:hint="eastAsia" w:ascii="宋体" w:eastAsia="宋体" w:hAnsiTheme="minorEastAsia"/>
        <w:color w:val="000000"/>
      </w:rPr>
      <w:instrText xml:space="preserve"> PAGE   \* MERGEFORMAT </w:instrText>
    </w:r>
    <w:r>
      <w:rPr>
        <w:rFonts w:hint="eastAsia" w:ascii="宋体" w:eastAsia="宋体" w:hAnsiTheme="minorEastAsia"/>
        <w:color w:val="000000"/>
      </w:rPr>
      <w:fldChar w:fldCharType="separate"/>
    </w:r>
    <w:r>
      <w:rPr>
        <w:rFonts w:ascii="宋体" w:eastAsia="宋体" w:hAnsiTheme="minorEastAsia"/>
        <w:color w:val="000000"/>
      </w:rPr>
      <w:t>26</w:t>
    </w:r>
    <w:r>
      <w:rPr>
        <w:rFonts w:hint="eastAsia" w:ascii="宋体" w:eastAsia="宋体" w:hAnsiTheme="minorEastAsia"/>
        <w:color w:val="000000"/>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80478"/>
    <w:multiLevelType w:val="multilevel"/>
    <w:tmpl w:val="06F80478"/>
    <w:lvl w:ilvl="0" w:tentative="0">
      <w:start w:val="1"/>
      <w:numFmt w:val="lowerLetter"/>
      <w:pStyle w:val="79"/>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
    <w:nsid w:val="0C89246C"/>
    <w:multiLevelType w:val="multilevel"/>
    <w:tmpl w:val="0C89246C"/>
    <w:lvl w:ilvl="0" w:tentative="0">
      <w:start w:val="1"/>
      <w:numFmt w:val="lowerLetter"/>
      <w:pStyle w:val="67"/>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
    <w:nsid w:val="0D162AB7"/>
    <w:multiLevelType w:val="multilevel"/>
    <w:tmpl w:val="0D162AB7"/>
    <w:lvl w:ilvl="0" w:tentative="0">
      <w:start w:val="1"/>
      <w:numFmt w:val="decimal"/>
      <w:pStyle w:val="85"/>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3">
    <w:nsid w:val="0EFC1DE8"/>
    <w:multiLevelType w:val="multilevel"/>
    <w:tmpl w:val="0EFC1DE8"/>
    <w:lvl w:ilvl="0" w:tentative="0">
      <w:start w:val="1"/>
      <w:numFmt w:val="lowerRoman"/>
      <w:pStyle w:val="71"/>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4">
    <w:nsid w:val="0F89325A"/>
    <w:multiLevelType w:val="multilevel"/>
    <w:tmpl w:val="0F89325A"/>
    <w:lvl w:ilvl="0" w:tentative="0">
      <w:start w:val="1"/>
      <w:numFmt w:val="chineseCountingThousand"/>
      <w:pStyle w:val="51"/>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5">
    <w:nsid w:val="1353089F"/>
    <w:multiLevelType w:val="multilevel"/>
    <w:tmpl w:val="1353089F"/>
    <w:lvl w:ilvl="0" w:tentative="0">
      <w:start w:val="1"/>
      <w:numFmt w:val="upperRoman"/>
      <w:pStyle w:val="105"/>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6">
    <w:nsid w:val="1A2947A4"/>
    <w:multiLevelType w:val="multilevel"/>
    <w:tmpl w:val="1A2947A4"/>
    <w:lvl w:ilvl="0" w:tentative="0">
      <w:start w:val="1"/>
      <w:numFmt w:val="lowerRoman"/>
      <w:pStyle w:val="83"/>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7">
    <w:nsid w:val="21D93A5C"/>
    <w:multiLevelType w:val="multilevel"/>
    <w:tmpl w:val="21D93A5C"/>
    <w:lvl w:ilvl="0" w:tentative="0">
      <w:start w:val="1"/>
      <w:numFmt w:val="chineseCountingThousand"/>
      <w:pStyle w:val="75"/>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8">
    <w:nsid w:val="227069AC"/>
    <w:multiLevelType w:val="multilevel"/>
    <w:tmpl w:val="227069AC"/>
    <w:lvl w:ilvl="0" w:tentative="0">
      <w:start w:val="1"/>
      <w:numFmt w:val="upperLetter"/>
      <w:pStyle w:val="89"/>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9">
    <w:nsid w:val="2F1034A3"/>
    <w:multiLevelType w:val="multilevel"/>
    <w:tmpl w:val="2F1034A3"/>
    <w:lvl w:ilvl="0" w:tentative="0">
      <w:start w:val="1"/>
      <w:numFmt w:val="lowerLetter"/>
      <w:pStyle w:val="91"/>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0">
    <w:nsid w:val="2F5B7434"/>
    <w:multiLevelType w:val="multilevel"/>
    <w:tmpl w:val="2F5B7434"/>
    <w:lvl w:ilvl="0" w:tentative="0">
      <w:start w:val="1"/>
      <w:numFmt w:val="upperLetter"/>
      <w:pStyle w:val="77"/>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1">
    <w:nsid w:val="30072A41"/>
    <w:multiLevelType w:val="multilevel"/>
    <w:tmpl w:val="30072A41"/>
    <w:lvl w:ilvl="0" w:tentative="0">
      <w:start w:val="1"/>
      <w:numFmt w:val="chineseCountingThousand"/>
      <w:pStyle w:val="99"/>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2">
    <w:nsid w:val="3C210087"/>
    <w:multiLevelType w:val="multilevel"/>
    <w:tmpl w:val="3C210087"/>
    <w:lvl w:ilvl="0" w:tentative="0">
      <w:start w:val="1"/>
      <w:numFmt w:val="upperRoman"/>
      <w:pStyle w:val="57"/>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3">
    <w:nsid w:val="3F277ACD"/>
    <w:multiLevelType w:val="multilevel"/>
    <w:tmpl w:val="3F277ACD"/>
    <w:lvl w:ilvl="0" w:tentative="0">
      <w:start w:val="1"/>
      <w:numFmt w:val="decimal"/>
      <w:pStyle w:val="97"/>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4">
    <w:nsid w:val="45BA3CB8"/>
    <w:multiLevelType w:val="multilevel"/>
    <w:tmpl w:val="45BA3CB8"/>
    <w:lvl w:ilvl="0" w:tentative="0">
      <w:start w:val="1"/>
      <w:numFmt w:val="lowerRoman"/>
      <w:pStyle w:val="95"/>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5">
    <w:nsid w:val="48441C83"/>
    <w:multiLevelType w:val="multilevel"/>
    <w:tmpl w:val="48441C83"/>
    <w:lvl w:ilvl="0" w:tentative="0">
      <w:start w:val="1"/>
      <w:numFmt w:val="upperRoman"/>
      <w:pStyle w:val="81"/>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6">
    <w:nsid w:val="48D258B5"/>
    <w:multiLevelType w:val="multilevel"/>
    <w:tmpl w:val="48D258B5"/>
    <w:lvl w:ilvl="0" w:tentative="0">
      <w:start w:val="1"/>
      <w:numFmt w:val="decimal"/>
      <w:pStyle w:val="61"/>
      <w:lvlText w:val="%1."/>
      <w:lvlJc w:val="left"/>
      <w:pPr>
        <w:ind w:left="704" w:hanging="420"/>
      </w:pPr>
      <w:rPr>
        <w:rFonts w:hint="eastAsia"/>
        <w:sz w:val="72"/>
        <w:szCs w:val="72"/>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7">
    <w:nsid w:val="4BCC1CF2"/>
    <w:multiLevelType w:val="multilevel"/>
    <w:tmpl w:val="4BCC1CF2"/>
    <w:lvl w:ilvl="0" w:tentative="0">
      <w:start w:val="1"/>
      <w:numFmt w:val="lowerRoman"/>
      <w:pStyle w:val="107"/>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8">
    <w:nsid w:val="4C022313"/>
    <w:multiLevelType w:val="multilevel"/>
    <w:tmpl w:val="4C022313"/>
    <w:lvl w:ilvl="0" w:tentative="0">
      <w:start w:val="1"/>
      <w:numFmt w:val="upperLetter"/>
      <w:pStyle w:val="101"/>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9">
    <w:nsid w:val="4E793448"/>
    <w:multiLevelType w:val="multilevel"/>
    <w:tmpl w:val="4E793448"/>
    <w:lvl w:ilvl="0" w:tentative="0">
      <w:start w:val="1"/>
      <w:numFmt w:val="lowerLetter"/>
      <w:pStyle w:val="103"/>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0">
    <w:nsid w:val="56361809"/>
    <w:multiLevelType w:val="multilevel"/>
    <w:tmpl w:val="56361809"/>
    <w:lvl w:ilvl="0" w:tentative="0">
      <w:start w:val="1"/>
      <w:numFmt w:val="upperLetter"/>
      <w:pStyle w:val="65"/>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1">
    <w:nsid w:val="57D67E27"/>
    <w:multiLevelType w:val="multilevel"/>
    <w:tmpl w:val="57D67E27"/>
    <w:lvl w:ilvl="0" w:tentative="0">
      <w:start w:val="1"/>
      <w:numFmt w:val="decimal"/>
      <w:pStyle w:val="50"/>
      <w:lvlText w:val="%1."/>
      <w:lvlJc w:val="left"/>
      <w:pPr>
        <w:ind w:left="704" w:hanging="420"/>
      </w:pPr>
      <w:rPr>
        <w:rFonts w:hint="eastAsia"/>
        <w:sz w:val="96"/>
        <w:szCs w:val="96"/>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2">
    <w:nsid w:val="5A181799"/>
    <w:multiLevelType w:val="multilevel"/>
    <w:tmpl w:val="5A181799"/>
    <w:lvl w:ilvl="0" w:tentative="0">
      <w:start w:val="1"/>
      <w:numFmt w:val="lowerLetter"/>
      <w:pStyle w:val="55"/>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3">
    <w:nsid w:val="5FA0565C"/>
    <w:multiLevelType w:val="multilevel"/>
    <w:tmpl w:val="5FA0565C"/>
    <w:lvl w:ilvl="0" w:tentative="0">
      <w:start w:val="1"/>
      <w:numFmt w:val="lowerRoman"/>
      <w:pStyle w:val="59"/>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4">
    <w:nsid w:val="602D6C19"/>
    <w:multiLevelType w:val="multilevel"/>
    <w:tmpl w:val="602D6C19"/>
    <w:lvl w:ilvl="0" w:tentative="0">
      <w:start w:val="1"/>
      <w:numFmt w:val="upperLetter"/>
      <w:pStyle w:val="53"/>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5">
    <w:nsid w:val="638B253F"/>
    <w:multiLevelType w:val="multilevel"/>
    <w:tmpl w:val="638B253F"/>
    <w:lvl w:ilvl="0" w:tentative="0">
      <w:start w:val="1"/>
      <w:numFmt w:val="upperRoman"/>
      <w:pStyle w:val="69"/>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6">
    <w:nsid w:val="64F12C63"/>
    <w:multiLevelType w:val="multilevel"/>
    <w:tmpl w:val="64F12C63"/>
    <w:lvl w:ilvl="0" w:tentative="0">
      <w:start w:val="1"/>
      <w:numFmt w:val="chineseCountingThousand"/>
      <w:pStyle w:val="87"/>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7">
    <w:nsid w:val="67D9330E"/>
    <w:multiLevelType w:val="multilevel"/>
    <w:tmpl w:val="67D9330E"/>
    <w:lvl w:ilvl="0" w:tentative="0">
      <w:start w:val="1"/>
      <w:numFmt w:val="decimal"/>
      <w:pStyle w:val="73"/>
      <w:lvlText w:val="%1."/>
      <w:lvlJc w:val="left"/>
      <w:pPr>
        <w:ind w:left="704" w:hanging="420"/>
      </w:pPr>
      <w:rPr>
        <w:rFonts w:hint="eastAsia"/>
        <w:sz w:val="56"/>
        <w:szCs w:val="56"/>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8">
    <w:nsid w:val="6AF34339"/>
    <w:multiLevelType w:val="multilevel"/>
    <w:tmpl w:val="6AF34339"/>
    <w:lvl w:ilvl="0" w:tentative="0">
      <w:start w:val="1"/>
      <w:numFmt w:val="upperRoman"/>
      <w:pStyle w:val="93"/>
      <w:lvlText w:val="%1."/>
      <w:lvlJc w:val="left"/>
      <w:pPr>
        <w:ind w:left="704" w:hanging="420"/>
      </w:pPr>
      <w:rPr>
        <w:rFonts w:hint="eastAsia"/>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9">
    <w:nsid w:val="7C73237E"/>
    <w:multiLevelType w:val="multilevel"/>
    <w:tmpl w:val="7C73237E"/>
    <w:lvl w:ilvl="0" w:tentative="0">
      <w:start w:val="1"/>
      <w:numFmt w:val="chineseCountingThousand"/>
      <w:pStyle w:val="63"/>
      <w:lvlText w:val="%1、"/>
      <w:lvlJc w:val="left"/>
      <w:pPr>
        <w:ind w:left="704" w:hanging="420"/>
      </w:p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num w:numId="1">
    <w:abstractNumId w:val="21"/>
  </w:num>
  <w:num w:numId="2">
    <w:abstractNumId w:val="4"/>
  </w:num>
  <w:num w:numId="3">
    <w:abstractNumId w:val="24"/>
  </w:num>
  <w:num w:numId="4">
    <w:abstractNumId w:val="22"/>
  </w:num>
  <w:num w:numId="5">
    <w:abstractNumId w:val="12"/>
  </w:num>
  <w:num w:numId="6">
    <w:abstractNumId w:val="23"/>
  </w:num>
  <w:num w:numId="7">
    <w:abstractNumId w:val="16"/>
  </w:num>
  <w:num w:numId="8">
    <w:abstractNumId w:val="29"/>
  </w:num>
  <w:num w:numId="9">
    <w:abstractNumId w:val="20"/>
  </w:num>
  <w:num w:numId="10">
    <w:abstractNumId w:val="1"/>
  </w:num>
  <w:num w:numId="11">
    <w:abstractNumId w:val="25"/>
  </w:num>
  <w:num w:numId="12">
    <w:abstractNumId w:val="3"/>
  </w:num>
  <w:num w:numId="13">
    <w:abstractNumId w:val="27"/>
  </w:num>
  <w:num w:numId="14">
    <w:abstractNumId w:val="7"/>
  </w:num>
  <w:num w:numId="15">
    <w:abstractNumId w:val="10"/>
  </w:num>
  <w:num w:numId="16">
    <w:abstractNumId w:val="0"/>
  </w:num>
  <w:num w:numId="17">
    <w:abstractNumId w:val="15"/>
  </w:num>
  <w:num w:numId="18">
    <w:abstractNumId w:val="6"/>
  </w:num>
  <w:num w:numId="19">
    <w:abstractNumId w:val="2"/>
  </w:num>
  <w:num w:numId="20">
    <w:abstractNumId w:val="26"/>
  </w:num>
  <w:num w:numId="21">
    <w:abstractNumId w:val="8"/>
  </w:num>
  <w:num w:numId="22">
    <w:abstractNumId w:val="9"/>
  </w:num>
  <w:num w:numId="23">
    <w:abstractNumId w:val="28"/>
  </w:num>
  <w:num w:numId="24">
    <w:abstractNumId w:val="14"/>
  </w:num>
  <w:num w:numId="25">
    <w:abstractNumId w:val="13"/>
  </w:num>
  <w:num w:numId="26">
    <w:abstractNumId w:val="11"/>
  </w:num>
  <w:num w:numId="27">
    <w:abstractNumId w:val="18"/>
  </w:num>
  <w:num w:numId="28">
    <w:abstractNumId w:val="19"/>
  </w:num>
  <w:num w:numId="29">
    <w:abstractNumId w:val="5"/>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8478F1"/>
    <w:rsid w:val="000047E3"/>
    <w:rsid w:val="000357E3"/>
    <w:rsid w:val="00070BA5"/>
    <w:rsid w:val="00073962"/>
    <w:rsid w:val="000746C7"/>
    <w:rsid w:val="00075924"/>
    <w:rsid w:val="00075D16"/>
    <w:rsid w:val="0009115B"/>
    <w:rsid w:val="0009734D"/>
    <w:rsid w:val="000C3B60"/>
    <w:rsid w:val="000C3B7B"/>
    <w:rsid w:val="000E24DC"/>
    <w:rsid w:val="00123731"/>
    <w:rsid w:val="00124F05"/>
    <w:rsid w:val="00171957"/>
    <w:rsid w:val="00190FEB"/>
    <w:rsid w:val="001A7D91"/>
    <w:rsid w:val="002A7450"/>
    <w:rsid w:val="002D09C0"/>
    <w:rsid w:val="003451C4"/>
    <w:rsid w:val="00375184"/>
    <w:rsid w:val="003C20EF"/>
    <w:rsid w:val="003D337D"/>
    <w:rsid w:val="003D5F87"/>
    <w:rsid w:val="00427601"/>
    <w:rsid w:val="004E68A1"/>
    <w:rsid w:val="004F325C"/>
    <w:rsid w:val="005635CB"/>
    <w:rsid w:val="00566C2D"/>
    <w:rsid w:val="0057238F"/>
    <w:rsid w:val="00576129"/>
    <w:rsid w:val="00594BAB"/>
    <w:rsid w:val="005F25E4"/>
    <w:rsid w:val="006823B5"/>
    <w:rsid w:val="006856FB"/>
    <w:rsid w:val="006871E6"/>
    <w:rsid w:val="006C0CD3"/>
    <w:rsid w:val="006D2F2D"/>
    <w:rsid w:val="00727805"/>
    <w:rsid w:val="00742625"/>
    <w:rsid w:val="00747794"/>
    <w:rsid w:val="007553B7"/>
    <w:rsid w:val="00760805"/>
    <w:rsid w:val="00760DC0"/>
    <w:rsid w:val="007B17A8"/>
    <w:rsid w:val="007B5753"/>
    <w:rsid w:val="00805B38"/>
    <w:rsid w:val="008217CF"/>
    <w:rsid w:val="008478F1"/>
    <w:rsid w:val="00894C4B"/>
    <w:rsid w:val="0090659A"/>
    <w:rsid w:val="009070E1"/>
    <w:rsid w:val="00932852"/>
    <w:rsid w:val="009C3528"/>
    <w:rsid w:val="009E2801"/>
    <w:rsid w:val="00A20007"/>
    <w:rsid w:val="00A4141B"/>
    <w:rsid w:val="00AF32B1"/>
    <w:rsid w:val="00AF41DB"/>
    <w:rsid w:val="00B316BA"/>
    <w:rsid w:val="00B37354"/>
    <w:rsid w:val="00B46B40"/>
    <w:rsid w:val="00B61FAB"/>
    <w:rsid w:val="00B97F1F"/>
    <w:rsid w:val="00BB4996"/>
    <w:rsid w:val="00C11DE0"/>
    <w:rsid w:val="00CD6826"/>
    <w:rsid w:val="00D20745"/>
    <w:rsid w:val="00D54CD3"/>
    <w:rsid w:val="00DA03CF"/>
    <w:rsid w:val="00DC7A6F"/>
    <w:rsid w:val="00E8175D"/>
    <w:rsid w:val="00E921D1"/>
    <w:rsid w:val="00E94E1D"/>
    <w:rsid w:val="00EC649B"/>
    <w:rsid w:val="00EC72CD"/>
    <w:rsid w:val="00FC0FD2"/>
    <w:rsid w:val="27B64D3C"/>
    <w:rsid w:val="2BCA65ED"/>
    <w:rsid w:val="3B187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left="641" w:hanging="357"/>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4"/>
    <w:unhideWhenUsed/>
    <w:qFormat/>
    <w:uiPriority w:val="9"/>
    <w:pPr>
      <w:keepNext/>
      <w:keepLines/>
      <w:spacing w:before="260" w:after="260" w:line="415" w:lineRule="auto"/>
      <w:ind w:left="284" w:firstLine="0"/>
      <w:outlineLvl w:val="2"/>
    </w:pPr>
    <w:rPr>
      <w:b/>
      <w:bCs/>
      <w:sz w:val="32"/>
      <w:szCs w:val="32"/>
    </w:rPr>
  </w:style>
  <w:style w:type="paragraph" w:styleId="5">
    <w:name w:val="heading 4"/>
    <w:basedOn w:val="1"/>
    <w:next w:val="1"/>
    <w:link w:val="2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6"/>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7"/>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8"/>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9"/>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0"/>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17">
    <w:name w:val="Default Paragraph Font"/>
    <w:semiHidden/>
    <w:unhideWhenUsed/>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Balloon Text"/>
    <w:basedOn w:val="1"/>
    <w:link w:val="110"/>
    <w:semiHidden/>
    <w:unhideWhenUsed/>
    <w:qFormat/>
    <w:uiPriority w:val="99"/>
    <w:rPr>
      <w:sz w:val="18"/>
      <w:szCs w:val="18"/>
    </w:rPr>
  </w:style>
  <w:style w:type="paragraph" w:styleId="13">
    <w:name w:val="footer"/>
    <w:basedOn w:val="1"/>
    <w:link w:val="49"/>
    <w:semiHidden/>
    <w:unhideWhenUsed/>
    <w:uiPriority w:val="99"/>
    <w:pPr>
      <w:tabs>
        <w:tab w:val="center" w:pos="4153"/>
        <w:tab w:val="right" w:pos="8306"/>
      </w:tabs>
      <w:snapToGrid w:val="0"/>
      <w:jc w:val="left"/>
    </w:pPr>
    <w:rPr>
      <w:sz w:val="18"/>
      <w:szCs w:val="18"/>
    </w:rPr>
  </w:style>
  <w:style w:type="paragraph" w:styleId="14">
    <w:name w:val="header"/>
    <w:basedOn w:val="1"/>
    <w:link w:val="4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2"/>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6">
    <w:name w:val="Title"/>
    <w:basedOn w:val="1"/>
    <w:next w:val="1"/>
    <w:link w:val="31"/>
    <w:qFormat/>
    <w:uiPriority w:val="10"/>
    <w:pPr>
      <w:spacing w:before="240" w:after="60"/>
      <w:jc w:val="center"/>
      <w:outlineLvl w:val="0"/>
    </w:pPr>
    <w:rPr>
      <w:rFonts w:eastAsia="宋体" w:asciiTheme="majorHAnsi" w:hAnsiTheme="majorHAnsi" w:cstheme="majorBidi"/>
      <w:b/>
      <w:bCs/>
      <w:sz w:val="32"/>
      <w:szCs w:val="32"/>
    </w:rPr>
  </w:style>
  <w:style w:type="character" w:styleId="18">
    <w:name w:val="Strong"/>
    <w:basedOn w:val="17"/>
    <w:qFormat/>
    <w:uiPriority w:val="22"/>
    <w:rPr>
      <w:b/>
      <w:bCs/>
    </w:rPr>
  </w:style>
  <w:style w:type="character" w:styleId="19">
    <w:name w:val="Emphasis"/>
    <w:basedOn w:val="17"/>
    <w:qFormat/>
    <w:uiPriority w:val="20"/>
    <w:rPr>
      <w:i/>
      <w:iCs/>
    </w:rPr>
  </w:style>
  <w:style w:type="table" w:styleId="21">
    <w:name w:val="Table Grid"/>
    <w:basedOn w:val="20"/>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22">
    <w:name w:val="标题 1 Char"/>
    <w:basedOn w:val="17"/>
    <w:link w:val="2"/>
    <w:uiPriority w:val="9"/>
    <w:rPr>
      <w:b/>
      <w:bCs/>
      <w:kern w:val="44"/>
      <w:sz w:val="44"/>
      <w:szCs w:val="44"/>
    </w:rPr>
  </w:style>
  <w:style w:type="character" w:customStyle="1" w:styleId="23">
    <w:name w:val="标题 2 Char"/>
    <w:basedOn w:val="17"/>
    <w:link w:val="3"/>
    <w:qFormat/>
    <w:uiPriority w:val="9"/>
    <w:rPr>
      <w:rFonts w:asciiTheme="majorHAnsi" w:hAnsiTheme="majorHAnsi" w:eastAsiaTheme="majorEastAsia" w:cstheme="majorBidi"/>
      <w:b/>
      <w:bCs/>
      <w:sz w:val="32"/>
      <w:szCs w:val="32"/>
    </w:rPr>
  </w:style>
  <w:style w:type="character" w:customStyle="1" w:styleId="24">
    <w:name w:val="标题 3 Char"/>
    <w:basedOn w:val="17"/>
    <w:link w:val="4"/>
    <w:uiPriority w:val="9"/>
    <w:rPr>
      <w:b/>
      <w:bCs/>
      <w:sz w:val="32"/>
      <w:szCs w:val="32"/>
    </w:rPr>
  </w:style>
  <w:style w:type="character" w:customStyle="1" w:styleId="25">
    <w:name w:val="标题 4 Char"/>
    <w:basedOn w:val="17"/>
    <w:link w:val="5"/>
    <w:semiHidden/>
    <w:qFormat/>
    <w:uiPriority w:val="9"/>
    <w:rPr>
      <w:rFonts w:asciiTheme="majorHAnsi" w:hAnsiTheme="majorHAnsi" w:eastAsiaTheme="majorEastAsia" w:cstheme="majorBidi"/>
      <w:b/>
      <w:bCs/>
      <w:sz w:val="28"/>
      <w:szCs w:val="28"/>
    </w:rPr>
  </w:style>
  <w:style w:type="character" w:customStyle="1" w:styleId="26">
    <w:name w:val="标题 5 Char"/>
    <w:basedOn w:val="17"/>
    <w:link w:val="6"/>
    <w:semiHidden/>
    <w:qFormat/>
    <w:uiPriority w:val="9"/>
    <w:rPr>
      <w:b/>
      <w:bCs/>
      <w:sz w:val="28"/>
      <w:szCs w:val="28"/>
    </w:rPr>
  </w:style>
  <w:style w:type="character" w:customStyle="1" w:styleId="27">
    <w:name w:val="标题 6 Char"/>
    <w:basedOn w:val="17"/>
    <w:link w:val="7"/>
    <w:semiHidden/>
    <w:uiPriority w:val="9"/>
    <w:rPr>
      <w:rFonts w:asciiTheme="majorHAnsi" w:hAnsiTheme="majorHAnsi" w:eastAsiaTheme="majorEastAsia" w:cstheme="majorBidi"/>
      <w:b/>
      <w:bCs/>
      <w:sz w:val="24"/>
      <w:szCs w:val="24"/>
    </w:rPr>
  </w:style>
  <w:style w:type="character" w:customStyle="1" w:styleId="28">
    <w:name w:val="标题 7 Char"/>
    <w:basedOn w:val="17"/>
    <w:link w:val="8"/>
    <w:semiHidden/>
    <w:uiPriority w:val="9"/>
    <w:rPr>
      <w:b/>
      <w:bCs/>
      <w:sz w:val="24"/>
      <w:szCs w:val="24"/>
    </w:rPr>
  </w:style>
  <w:style w:type="character" w:customStyle="1" w:styleId="29">
    <w:name w:val="标题 8 Char"/>
    <w:basedOn w:val="17"/>
    <w:link w:val="9"/>
    <w:semiHidden/>
    <w:qFormat/>
    <w:uiPriority w:val="9"/>
    <w:rPr>
      <w:rFonts w:asciiTheme="majorHAnsi" w:hAnsiTheme="majorHAnsi" w:eastAsiaTheme="majorEastAsia" w:cstheme="majorBidi"/>
      <w:sz w:val="24"/>
      <w:szCs w:val="24"/>
    </w:rPr>
  </w:style>
  <w:style w:type="character" w:customStyle="1" w:styleId="30">
    <w:name w:val="标题 9 Char"/>
    <w:basedOn w:val="17"/>
    <w:link w:val="10"/>
    <w:semiHidden/>
    <w:qFormat/>
    <w:uiPriority w:val="9"/>
    <w:rPr>
      <w:rFonts w:asciiTheme="majorHAnsi" w:hAnsiTheme="majorHAnsi" w:eastAsiaTheme="majorEastAsia" w:cstheme="majorBidi"/>
      <w:szCs w:val="21"/>
    </w:rPr>
  </w:style>
  <w:style w:type="character" w:customStyle="1" w:styleId="31">
    <w:name w:val="标题 Char"/>
    <w:basedOn w:val="17"/>
    <w:link w:val="16"/>
    <w:uiPriority w:val="10"/>
    <w:rPr>
      <w:rFonts w:eastAsia="宋体" w:asciiTheme="majorHAnsi" w:hAnsiTheme="majorHAnsi" w:cstheme="majorBidi"/>
      <w:b/>
      <w:bCs/>
      <w:sz w:val="32"/>
      <w:szCs w:val="32"/>
    </w:rPr>
  </w:style>
  <w:style w:type="character" w:customStyle="1" w:styleId="32">
    <w:name w:val="副标题 Char"/>
    <w:basedOn w:val="17"/>
    <w:link w:val="15"/>
    <w:uiPriority w:val="11"/>
    <w:rPr>
      <w:rFonts w:eastAsia="宋体" w:asciiTheme="majorHAnsi" w:hAnsiTheme="majorHAnsi" w:cstheme="majorBidi"/>
      <w:b/>
      <w:bCs/>
      <w:kern w:val="28"/>
      <w:sz w:val="32"/>
      <w:szCs w:val="32"/>
    </w:rPr>
  </w:style>
  <w:style w:type="paragraph" w:styleId="33">
    <w:name w:val="No Spacing"/>
    <w:link w:val="34"/>
    <w:qFormat/>
    <w:uiPriority w:val="1"/>
    <w:pPr>
      <w:widowControl w:val="0"/>
      <w:ind w:left="641" w:hanging="357"/>
      <w:jc w:val="both"/>
    </w:pPr>
    <w:rPr>
      <w:rFonts w:asciiTheme="minorHAnsi" w:hAnsiTheme="minorHAnsi" w:eastAsiaTheme="minorEastAsia" w:cstheme="minorBidi"/>
      <w:kern w:val="2"/>
      <w:sz w:val="21"/>
      <w:szCs w:val="22"/>
      <w:lang w:val="en-US" w:eastAsia="zh-CN" w:bidi="ar-SA"/>
    </w:rPr>
  </w:style>
  <w:style w:type="character" w:customStyle="1" w:styleId="34">
    <w:name w:val="无间隔 Char"/>
    <w:basedOn w:val="17"/>
    <w:link w:val="33"/>
    <w:uiPriority w:val="1"/>
  </w:style>
  <w:style w:type="paragraph" w:styleId="35">
    <w:name w:val="List Paragraph"/>
    <w:basedOn w:val="1"/>
    <w:qFormat/>
    <w:uiPriority w:val="34"/>
    <w:pPr>
      <w:ind w:firstLine="420" w:firstLineChars="200"/>
    </w:pPr>
  </w:style>
  <w:style w:type="paragraph" w:styleId="36">
    <w:name w:val="Quote"/>
    <w:basedOn w:val="1"/>
    <w:next w:val="1"/>
    <w:link w:val="37"/>
    <w:qFormat/>
    <w:uiPriority w:val="29"/>
    <w:rPr>
      <w:i/>
      <w:iCs/>
      <w:color w:val="000000" w:themeColor="text1"/>
    </w:rPr>
  </w:style>
  <w:style w:type="character" w:customStyle="1" w:styleId="37">
    <w:name w:val="引用 Char"/>
    <w:basedOn w:val="17"/>
    <w:link w:val="36"/>
    <w:uiPriority w:val="29"/>
    <w:rPr>
      <w:i/>
      <w:iCs/>
      <w:color w:val="000000" w:themeColor="text1"/>
    </w:rPr>
  </w:style>
  <w:style w:type="paragraph" w:styleId="38">
    <w:name w:val="Intense Quote"/>
    <w:basedOn w:val="1"/>
    <w:next w:val="1"/>
    <w:link w:val="39"/>
    <w:qFormat/>
    <w:uiPriority w:val="30"/>
    <w:pPr>
      <w:pBdr>
        <w:bottom w:val="single" w:color="4F81BD" w:themeColor="accent1" w:sz="4" w:space="4"/>
      </w:pBdr>
      <w:spacing w:before="200" w:after="280"/>
      <w:ind w:left="936" w:right="936"/>
    </w:pPr>
    <w:rPr>
      <w:b/>
      <w:bCs/>
      <w:i/>
      <w:iCs/>
      <w:color w:val="4F81BD" w:themeColor="accent1"/>
    </w:rPr>
  </w:style>
  <w:style w:type="character" w:customStyle="1" w:styleId="39">
    <w:name w:val="明显引用 Char"/>
    <w:basedOn w:val="17"/>
    <w:link w:val="38"/>
    <w:qFormat/>
    <w:uiPriority w:val="30"/>
    <w:rPr>
      <w:b/>
      <w:bCs/>
      <w:i/>
      <w:iCs/>
      <w:color w:val="4F81BD" w:themeColor="accent1"/>
    </w:rPr>
  </w:style>
  <w:style w:type="character" w:customStyle="1" w:styleId="40">
    <w:name w:val="Subtle Emphasis"/>
    <w:basedOn w:val="17"/>
    <w:qFormat/>
    <w:uiPriority w:val="19"/>
    <w:rPr>
      <w:i/>
      <w:iCs/>
      <w:color w:val="7F7F7F" w:themeColor="text1" w:themeTint="7F"/>
    </w:rPr>
  </w:style>
  <w:style w:type="character" w:customStyle="1" w:styleId="41">
    <w:name w:val="Intense Emphasis"/>
    <w:basedOn w:val="17"/>
    <w:qFormat/>
    <w:uiPriority w:val="21"/>
    <w:rPr>
      <w:b/>
      <w:bCs/>
      <w:i/>
      <w:iCs/>
      <w:color w:val="4F81BD" w:themeColor="accent1"/>
    </w:rPr>
  </w:style>
  <w:style w:type="character" w:customStyle="1" w:styleId="42">
    <w:name w:val="Subtle Reference"/>
    <w:basedOn w:val="17"/>
    <w:qFormat/>
    <w:uiPriority w:val="31"/>
    <w:rPr>
      <w:smallCaps/>
      <w:color w:val="C0504D" w:themeColor="accent2"/>
      <w:u w:val="single"/>
    </w:rPr>
  </w:style>
  <w:style w:type="character" w:customStyle="1" w:styleId="43">
    <w:name w:val="Intense Reference"/>
    <w:basedOn w:val="17"/>
    <w:qFormat/>
    <w:uiPriority w:val="32"/>
    <w:rPr>
      <w:b/>
      <w:bCs/>
      <w:smallCaps/>
      <w:color w:val="C0504D" w:themeColor="accent2"/>
      <w:spacing w:val="5"/>
      <w:u w:val="single"/>
    </w:rPr>
  </w:style>
  <w:style w:type="character" w:customStyle="1" w:styleId="44">
    <w:name w:val="Book Title"/>
    <w:basedOn w:val="17"/>
    <w:qFormat/>
    <w:uiPriority w:val="33"/>
    <w:rPr>
      <w:b/>
      <w:bCs/>
      <w:smallCaps/>
      <w:spacing w:val="5"/>
    </w:rPr>
  </w:style>
  <w:style w:type="paragraph" w:customStyle="1" w:styleId="45">
    <w:name w:val="TOC Heading"/>
    <w:basedOn w:val="2"/>
    <w:next w:val="1"/>
    <w:semiHidden/>
    <w:unhideWhenUsed/>
    <w:qFormat/>
    <w:uiPriority w:val="39"/>
    <w:pPr>
      <w:outlineLvl w:val="9"/>
    </w:pPr>
  </w:style>
  <w:style w:type="paragraph" w:customStyle="1" w:styleId="46">
    <w:name w:val="样式1"/>
    <w:basedOn w:val="1"/>
    <w:link w:val="47"/>
    <w:qFormat/>
    <w:uiPriority w:val="0"/>
  </w:style>
  <w:style w:type="character" w:customStyle="1" w:styleId="47">
    <w:name w:val="样式1 Char"/>
    <w:basedOn w:val="17"/>
    <w:link w:val="46"/>
    <w:qFormat/>
    <w:uiPriority w:val="0"/>
  </w:style>
  <w:style w:type="character" w:customStyle="1" w:styleId="48">
    <w:name w:val="页眉 Char"/>
    <w:basedOn w:val="17"/>
    <w:link w:val="14"/>
    <w:semiHidden/>
    <w:uiPriority w:val="99"/>
    <w:rPr>
      <w:sz w:val="18"/>
      <w:szCs w:val="18"/>
    </w:rPr>
  </w:style>
  <w:style w:type="character" w:customStyle="1" w:styleId="49">
    <w:name w:val="页脚 Char"/>
    <w:basedOn w:val="17"/>
    <w:link w:val="13"/>
    <w:semiHidden/>
    <w:uiPriority w:val="99"/>
    <w:rPr>
      <w:sz w:val="18"/>
      <w:szCs w:val="18"/>
    </w:rPr>
  </w:style>
  <w:style w:type="paragraph" w:customStyle="1" w:styleId="50">
    <w:name w:val="样式2"/>
    <w:basedOn w:val="2"/>
    <w:link w:val="52"/>
    <w:qFormat/>
    <w:uiPriority w:val="0"/>
    <w:pPr>
      <w:numPr>
        <w:ilvl w:val="0"/>
        <w:numId w:val="1"/>
      </w:numPr>
    </w:pPr>
  </w:style>
  <w:style w:type="paragraph" w:customStyle="1" w:styleId="51">
    <w:name w:val="样式3"/>
    <w:basedOn w:val="2"/>
    <w:link w:val="54"/>
    <w:qFormat/>
    <w:uiPriority w:val="0"/>
    <w:pPr>
      <w:numPr>
        <w:ilvl w:val="0"/>
        <w:numId w:val="2"/>
      </w:numPr>
    </w:pPr>
  </w:style>
  <w:style w:type="character" w:customStyle="1" w:styleId="52">
    <w:name w:val="样式2 Char"/>
    <w:basedOn w:val="22"/>
    <w:link w:val="50"/>
    <w:uiPriority w:val="0"/>
  </w:style>
  <w:style w:type="paragraph" w:customStyle="1" w:styleId="53">
    <w:name w:val="样式4"/>
    <w:basedOn w:val="2"/>
    <w:link w:val="56"/>
    <w:qFormat/>
    <w:uiPriority w:val="0"/>
    <w:pPr>
      <w:numPr>
        <w:ilvl w:val="0"/>
        <w:numId w:val="3"/>
      </w:numPr>
    </w:pPr>
  </w:style>
  <w:style w:type="character" w:customStyle="1" w:styleId="54">
    <w:name w:val="样式3 Char"/>
    <w:basedOn w:val="22"/>
    <w:link w:val="51"/>
    <w:uiPriority w:val="0"/>
  </w:style>
  <w:style w:type="paragraph" w:customStyle="1" w:styleId="55">
    <w:name w:val="样式5"/>
    <w:basedOn w:val="2"/>
    <w:link w:val="58"/>
    <w:qFormat/>
    <w:uiPriority w:val="0"/>
    <w:pPr>
      <w:numPr>
        <w:ilvl w:val="0"/>
        <w:numId w:val="4"/>
      </w:numPr>
    </w:pPr>
  </w:style>
  <w:style w:type="character" w:customStyle="1" w:styleId="56">
    <w:name w:val="样式4 Char"/>
    <w:basedOn w:val="22"/>
    <w:link w:val="53"/>
    <w:uiPriority w:val="0"/>
  </w:style>
  <w:style w:type="paragraph" w:customStyle="1" w:styleId="57">
    <w:name w:val="样式6"/>
    <w:basedOn w:val="2"/>
    <w:link w:val="60"/>
    <w:qFormat/>
    <w:uiPriority w:val="0"/>
    <w:pPr>
      <w:numPr>
        <w:ilvl w:val="0"/>
        <w:numId w:val="5"/>
      </w:numPr>
    </w:pPr>
  </w:style>
  <w:style w:type="character" w:customStyle="1" w:styleId="58">
    <w:name w:val="样式5 Char"/>
    <w:basedOn w:val="22"/>
    <w:link w:val="55"/>
    <w:uiPriority w:val="0"/>
  </w:style>
  <w:style w:type="paragraph" w:customStyle="1" w:styleId="59">
    <w:name w:val="样式7"/>
    <w:basedOn w:val="2"/>
    <w:link w:val="62"/>
    <w:qFormat/>
    <w:uiPriority w:val="0"/>
    <w:pPr>
      <w:numPr>
        <w:ilvl w:val="0"/>
        <w:numId w:val="6"/>
      </w:numPr>
    </w:pPr>
  </w:style>
  <w:style w:type="character" w:customStyle="1" w:styleId="60">
    <w:name w:val="样式6 Char"/>
    <w:basedOn w:val="22"/>
    <w:link w:val="57"/>
    <w:uiPriority w:val="0"/>
  </w:style>
  <w:style w:type="paragraph" w:customStyle="1" w:styleId="61">
    <w:name w:val="样式8"/>
    <w:basedOn w:val="3"/>
    <w:link w:val="64"/>
    <w:qFormat/>
    <w:uiPriority w:val="0"/>
    <w:pPr>
      <w:numPr>
        <w:ilvl w:val="0"/>
        <w:numId w:val="7"/>
      </w:numPr>
    </w:pPr>
  </w:style>
  <w:style w:type="character" w:customStyle="1" w:styleId="62">
    <w:name w:val="样式7 Char"/>
    <w:basedOn w:val="22"/>
    <w:link w:val="59"/>
    <w:uiPriority w:val="0"/>
  </w:style>
  <w:style w:type="paragraph" w:customStyle="1" w:styleId="63">
    <w:name w:val="样式9"/>
    <w:basedOn w:val="3"/>
    <w:link w:val="66"/>
    <w:qFormat/>
    <w:uiPriority w:val="0"/>
    <w:pPr>
      <w:numPr>
        <w:ilvl w:val="0"/>
        <w:numId w:val="8"/>
      </w:numPr>
    </w:pPr>
  </w:style>
  <w:style w:type="character" w:customStyle="1" w:styleId="64">
    <w:name w:val="样式8 Char"/>
    <w:basedOn w:val="23"/>
    <w:link w:val="61"/>
    <w:qFormat/>
    <w:uiPriority w:val="0"/>
  </w:style>
  <w:style w:type="paragraph" w:customStyle="1" w:styleId="65">
    <w:name w:val="样式10"/>
    <w:basedOn w:val="3"/>
    <w:link w:val="68"/>
    <w:qFormat/>
    <w:uiPriority w:val="0"/>
    <w:pPr>
      <w:numPr>
        <w:ilvl w:val="0"/>
        <w:numId w:val="9"/>
      </w:numPr>
    </w:pPr>
  </w:style>
  <w:style w:type="character" w:customStyle="1" w:styleId="66">
    <w:name w:val="样式9 Char"/>
    <w:basedOn w:val="23"/>
    <w:link w:val="63"/>
    <w:uiPriority w:val="0"/>
  </w:style>
  <w:style w:type="paragraph" w:customStyle="1" w:styleId="67">
    <w:name w:val="样式11"/>
    <w:basedOn w:val="3"/>
    <w:link w:val="70"/>
    <w:qFormat/>
    <w:uiPriority w:val="0"/>
    <w:pPr>
      <w:numPr>
        <w:ilvl w:val="0"/>
        <w:numId w:val="10"/>
      </w:numPr>
    </w:pPr>
  </w:style>
  <w:style w:type="character" w:customStyle="1" w:styleId="68">
    <w:name w:val="样式10 Char"/>
    <w:basedOn w:val="23"/>
    <w:link w:val="65"/>
    <w:uiPriority w:val="0"/>
  </w:style>
  <w:style w:type="paragraph" w:customStyle="1" w:styleId="69">
    <w:name w:val="样式12"/>
    <w:basedOn w:val="3"/>
    <w:link w:val="72"/>
    <w:qFormat/>
    <w:uiPriority w:val="0"/>
    <w:pPr>
      <w:numPr>
        <w:ilvl w:val="0"/>
        <w:numId w:val="11"/>
      </w:numPr>
    </w:pPr>
  </w:style>
  <w:style w:type="character" w:customStyle="1" w:styleId="70">
    <w:name w:val="样式11 Char"/>
    <w:basedOn w:val="23"/>
    <w:link w:val="67"/>
    <w:uiPriority w:val="0"/>
  </w:style>
  <w:style w:type="paragraph" w:customStyle="1" w:styleId="71">
    <w:name w:val="样式13"/>
    <w:basedOn w:val="3"/>
    <w:link w:val="74"/>
    <w:qFormat/>
    <w:uiPriority w:val="0"/>
    <w:pPr>
      <w:numPr>
        <w:ilvl w:val="0"/>
        <w:numId w:val="12"/>
      </w:numPr>
    </w:pPr>
  </w:style>
  <w:style w:type="character" w:customStyle="1" w:styleId="72">
    <w:name w:val="样式12 Char"/>
    <w:basedOn w:val="23"/>
    <w:link w:val="69"/>
    <w:uiPriority w:val="0"/>
  </w:style>
  <w:style w:type="paragraph" w:customStyle="1" w:styleId="73">
    <w:name w:val="样式14"/>
    <w:basedOn w:val="4"/>
    <w:link w:val="76"/>
    <w:qFormat/>
    <w:uiPriority w:val="0"/>
    <w:pPr>
      <w:numPr>
        <w:ilvl w:val="0"/>
        <w:numId w:val="13"/>
      </w:numPr>
    </w:pPr>
  </w:style>
  <w:style w:type="character" w:customStyle="1" w:styleId="74">
    <w:name w:val="样式13 Char"/>
    <w:basedOn w:val="23"/>
    <w:link w:val="71"/>
    <w:qFormat/>
    <w:uiPriority w:val="0"/>
  </w:style>
  <w:style w:type="paragraph" w:customStyle="1" w:styleId="75">
    <w:name w:val="样式15"/>
    <w:basedOn w:val="4"/>
    <w:link w:val="78"/>
    <w:qFormat/>
    <w:uiPriority w:val="0"/>
    <w:pPr>
      <w:numPr>
        <w:ilvl w:val="0"/>
        <w:numId w:val="14"/>
      </w:numPr>
    </w:pPr>
  </w:style>
  <w:style w:type="character" w:customStyle="1" w:styleId="76">
    <w:name w:val="样式14 Char"/>
    <w:basedOn w:val="24"/>
    <w:link w:val="73"/>
    <w:qFormat/>
    <w:uiPriority w:val="0"/>
  </w:style>
  <w:style w:type="paragraph" w:customStyle="1" w:styleId="77">
    <w:name w:val="样式16"/>
    <w:basedOn w:val="4"/>
    <w:link w:val="80"/>
    <w:qFormat/>
    <w:uiPriority w:val="0"/>
    <w:pPr>
      <w:numPr>
        <w:ilvl w:val="0"/>
        <w:numId w:val="15"/>
      </w:numPr>
    </w:pPr>
  </w:style>
  <w:style w:type="character" w:customStyle="1" w:styleId="78">
    <w:name w:val="样式15 Char"/>
    <w:basedOn w:val="24"/>
    <w:link w:val="75"/>
    <w:qFormat/>
    <w:uiPriority w:val="0"/>
  </w:style>
  <w:style w:type="paragraph" w:customStyle="1" w:styleId="79">
    <w:name w:val="样式17"/>
    <w:basedOn w:val="4"/>
    <w:link w:val="82"/>
    <w:qFormat/>
    <w:uiPriority w:val="0"/>
    <w:pPr>
      <w:numPr>
        <w:ilvl w:val="0"/>
        <w:numId w:val="16"/>
      </w:numPr>
    </w:pPr>
  </w:style>
  <w:style w:type="character" w:customStyle="1" w:styleId="80">
    <w:name w:val="样式16 Char"/>
    <w:basedOn w:val="24"/>
    <w:link w:val="77"/>
    <w:uiPriority w:val="0"/>
  </w:style>
  <w:style w:type="paragraph" w:customStyle="1" w:styleId="81">
    <w:name w:val="样式18"/>
    <w:basedOn w:val="4"/>
    <w:link w:val="84"/>
    <w:qFormat/>
    <w:uiPriority w:val="0"/>
    <w:pPr>
      <w:numPr>
        <w:ilvl w:val="0"/>
        <w:numId w:val="17"/>
      </w:numPr>
    </w:pPr>
  </w:style>
  <w:style w:type="character" w:customStyle="1" w:styleId="82">
    <w:name w:val="样式17 Char"/>
    <w:basedOn w:val="24"/>
    <w:link w:val="79"/>
    <w:qFormat/>
    <w:uiPriority w:val="0"/>
  </w:style>
  <w:style w:type="paragraph" w:customStyle="1" w:styleId="83">
    <w:name w:val="样式19"/>
    <w:basedOn w:val="4"/>
    <w:link w:val="86"/>
    <w:qFormat/>
    <w:uiPriority w:val="0"/>
    <w:pPr>
      <w:numPr>
        <w:ilvl w:val="0"/>
        <w:numId w:val="18"/>
      </w:numPr>
    </w:pPr>
  </w:style>
  <w:style w:type="character" w:customStyle="1" w:styleId="84">
    <w:name w:val="样式18 Char"/>
    <w:basedOn w:val="24"/>
    <w:link w:val="81"/>
    <w:qFormat/>
    <w:uiPriority w:val="0"/>
  </w:style>
  <w:style w:type="paragraph" w:customStyle="1" w:styleId="85">
    <w:name w:val="样式20"/>
    <w:basedOn w:val="5"/>
    <w:link w:val="88"/>
    <w:qFormat/>
    <w:uiPriority w:val="0"/>
    <w:pPr>
      <w:numPr>
        <w:ilvl w:val="0"/>
        <w:numId w:val="19"/>
      </w:numPr>
    </w:pPr>
  </w:style>
  <w:style w:type="character" w:customStyle="1" w:styleId="86">
    <w:name w:val="样式19 Char"/>
    <w:basedOn w:val="24"/>
    <w:link w:val="83"/>
    <w:qFormat/>
    <w:uiPriority w:val="0"/>
  </w:style>
  <w:style w:type="paragraph" w:customStyle="1" w:styleId="87">
    <w:name w:val="样式21"/>
    <w:basedOn w:val="5"/>
    <w:link w:val="90"/>
    <w:qFormat/>
    <w:uiPriority w:val="0"/>
    <w:pPr>
      <w:numPr>
        <w:ilvl w:val="0"/>
        <w:numId w:val="20"/>
      </w:numPr>
    </w:pPr>
  </w:style>
  <w:style w:type="character" w:customStyle="1" w:styleId="88">
    <w:name w:val="样式20 Char"/>
    <w:basedOn w:val="25"/>
    <w:link w:val="85"/>
    <w:qFormat/>
    <w:uiPriority w:val="0"/>
  </w:style>
  <w:style w:type="paragraph" w:customStyle="1" w:styleId="89">
    <w:name w:val="样式22"/>
    <w:basedOn w:val="5"/>
    <w:link w:val="92"/>
    <w:qFormat/>
    <w:uiPriority w:val="0"/>
    <w:pPr>
      <w:numPr>
        <w:ilvl w:val="0"/>
        <w:numId w:val="21"/>
      </w:numPr>
    </w:pPr>
  </w:style>
  <w:style w:type="character" w:customStyle="1" w:styleId="90">
    <w:name w:val="样式21 Char"/>
    <w:basedOn w:val="25"/>
    <w:link w:val="87"/>
    <w:qFormat/>
    <w:uiPriority w:val="0"/>
  </w:style>
  <w:style w:type="paragraph" w:customStyle="1" w:styleId="91">
    <w:name w:val="样式23"/>
    <w:basedOn w:val="5"/>
    <w:link w:val="94"/>
    <w:qFormat/>
    <w:uiPriority w:val="0"/>
    <w:pPr>
      <w:numPr>
        <w:ilvl w:val="0"/>
        <w:numId w:val="22"/>
      </w:numPr>
    </w:pPr>
  </w:style>
  <w:style w:type="character" w:customStyle="1" w:styleId="92">
    <w:name w:val="样式22 Char"/>
    <w:basedOn w:val="25"/>
    <w:link w:val="89"/>
    <w:qFormat/>
    <w:uiPriority w:val="0"/>
  </w:style>
  <w:style w:type="paragraph" w:customStyle="1" w:styleId="93">
    <w:name w:val="样式24"/>
    <w:basedOn w:val="5"/>
    <w:link w:val="96"/>
    <w:qFormat/>
    <w:uiPriority w:val="0"/>
    <w:pPr>
      <w:numPr>
        <w:ilvl w:val="0"/>
        <w:numId w:val="23"/>
      </w:numPr>
    </w:pPr>
  </w:style>
  <w:style w:type="character" w:customStyle="1" w:styleId="94">
    <w:name w:val="样式23 Char"/>
    <w:basedOn w:val="25"/>
    <w:link w:val="91"/>
    <w:uiPriority w:val="0"/>
  </w:style>
  <w:style w:type="paragraph" w:customStyle="1" w:styleId="95">
    <w:name w:val="样式25"/>
    <w:basedOn w:val="5"/>
    <w:link w:val="98"/>
    <w:qFormat/>
    <w:uiPriority w:val="0"/>
    <w:pPr>
      <w:numPr>
        <w:ilvl w:val="0"/>
        <w:numId w:val="24"/>
      </w:numPr>
    </w:pPr>
  </w:style>
  <w:style w:type="character" w:customStyle="1" w:styleId="96">
    <w:name w:val="样式24 Char"/>
    <w:basedOn w:val="25"/>
    <w:link w:val="93"/>
    <w:qFormat/>
    <w:uiPriority w:val="0"/>
  </w:style>
  <w:style w:type="paragraph" w:customStyle="1" w:styleId="97">
    <w:name w:val="样式26"/>
    <w:basedOn w:val="6"/>
    <w:link w:val="100"/>
    <w:qFormat/>
    <w:uiPriority w:val="0"/>
    <w:pPr>
      <w:numPr>
        <w:ilvl w:val="0"/>
        <w:numId w:val="25"/>
      </w:numPr>
    </w:pPr>
  </w:style>
  <w:style w:type="character" w:customStyle="1" w:styleId="98">
    <w:name w:val="样式25 Char"/>
    <w:basedOn w:val="25"/>
    <w:link w:val="95"/>
    <w:uiPriority w:val="0"/>
  </w:style>
  <w:style w:type="paragraph" w:customStyle="1" w:styleId="99">
    <w:name w:val="样式27"/>
    <w:basedOn w:val="6"/>
    <w:link w:val="102"/>
    <w:qFormat/>
    <w:uiPriority w:val="0"/>
    <w:pPr>
      <w:numPr>
        <w:ilvl w:val="0"/>
        <w:numId w:val="26"/>
      </w:numPr>
    </w:pPr>
  </w:style>
  <w:style w:type="character" w:customStyle="1" w:styleId="100">
    <w:name w:val="样式26 Char"/>
    <w:basedOn w:val="26"/>
    <w:link w:val="97"/>
    <w:uiPriority w:val="0"/>
  </w:style>
  <w:style w:type="paragraph" w:customStyle="1" w:styleId="101">
    <w:name w:val="样式28"/>
    <w:basedOn w:val="6"/>
    <w:link w:val="104"/>
    <w:qFormat/>
    <w:uiPriority w:val="0"/>
    <w:pPr>
      <w:numPr>
        <w:ilvl w:val="0"/>
        <w:numId w:val="27"/>
      </w:numPr>
    </w:pPr>
  </w:style>
  <w:style w:type="character" w:customStyle="1" w:styleId="102">
    <w:name w:val="样式27 Char"/>
    <w:basedOn w:val="26"/>
    <w:link w:val="99"/>
    <w:uiPriority w:val="0"/>
  </w:style>
  <w:style w:type="paragraph" w:customStyle="1" w:styleId="103">
    <w:name w:val="样式29"/>
    <w:basedOn w:val="6"/>
    <w:link w:val="106"/>
    <w:qFormat/>
    <w:uiPriority w:val="0"/>
    <w:pPr>
      <w:numPr>
        <w:ilvl w:val="0"/>
        <w:numId w:val="28"/>
      </w:numPr>
    </w:pPr>
  </w:style>
  <w:style w:type="character" w:customStyle="1" w:styleId="104">
    <w:name w:val="样式28 Char"/>
    <w:basedOn w:val="26"/>
    <w:link w:val="101"/>
    <w:uiPriority w:val="0"/>
  </w:style>
  <w:style w:type="paragraph" w:customStyle="1" w:styleId="105">
    <w:name w:val="样式30"/>
    <w:basedOn w:val="6"/>
    <w:link w:val="108"/>
    <w:qFormat/>
    <w:uiPriority w:val="0"/>
    <w:pPr>
      <w:numPr>
        <w:ilvl w:val="0"/>
        <w:numId w:val="29"/>
      </w:numPr>
    </w:pPr>
  </w:style>
  <w:style w:type="character" w:customStyle="1" w:styleId="106">
    <w:name w:val="样式29 Char"/>
    <w:basedOn w:val="26"/>
    <w:link w:val="103"/>
    <w:qFormat/>
    <w:uiPriority w:val="0"/>
  </w:style>
  <w:style w:type="paragraph" w:customStyle="1" w:styleId="107">
    <w:name w:val="样式31"/>
    <w:basedOn w:val="6"/>
    <w:link w:val="109"/>
    <w:qFormat/>
    <w:uiPriority w:val="0"/>
    <w:pPr>
      <w:numPr>
        <w:ilvl w:val="0"/>
        <w:numId w:val="30"/>
      </w:numPr>
    </w:pPr>
  </w:style>
  <w:style w:type="character" w:customStyle="1" w:styleId="108">
    <w:name w:val="样式30 Char"/>
    <w:basedOn w:val="26"/>
    <w:link w:val="105"/>
    <w:uiPriority w:val="0"/>
  </w:style>
  <w:style w:type="character" w:customStyle="1" w:styleId="109">
    <w:name w:val="样式31 Char"/>
    <w:basedOn w:val="26"/>
    <w:link w:val="107"/>
    <w:qFormat/>
    <w:uiPriority w:val="0"/>
  </w:style>
  <w:style w:type="character" w:customStyle="1" w:styleId="110">
    <w:name w:val="批注框文本 Char"/>
    <w:basedOn w:val="17"/>
    <w:link w:val="12"/>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EC1C85-C430-4FD0-B457-A731B8491283}">
  <ds:schemaRefs/>
</ds:datastoreItem>
</file>

<file path=docProps/app.xml><?xml version="1.0" encoding="utf-8"?>
<Properties xmlns="http://schemas.openxmlformats.org/officeDocument/2006/extended-properties" xmlns:vt="http://schemas.openxmlformats.org/officeDocument/2006/docPropsVTypes">
  <Template>Normal</Template>
  <Pages>27</Pages>
  <Words>2066</Words>
  <Characters>11778</Characters>
  <Lines>98</Lines>
  <Paragraphs>27</Paragraphs>
  <TotalTime>1842</TotalTime>
  <ScaleCrop>false</ScaleCrop>
  <LinksUpToDate>false</LinksUpToDate>
  <CharactersWithSpaces>13817</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2018-06-15T13:40:00Z</dcterms:created>
  <dc:creator>Generated by OpenXML4J</dc:creator>
  <cp:lastModifiedBy>cindy2009</cp:lastModifiedBy>
  <cp:lastPrinted>2018-06-20T07:21:00Z</cp:lastPrinted>
  <dcterms:modified xsi:type="dcterms:W3CDTF">2018-08-21T02:55:52Z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